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5040"/>
        </w:tabs>
        <w:adjustRightInd w:val="0"/>
        <w:snapToGrid w:val="0"/>
        <w:spacing w:line="560" w:lineRule="exact"/>
        <w:jc w:val="center"/>
        <w:rPr>
          <w:rFonts w:hint="eastAsia" w:ascii="方正小标宋_GBK" w:hAnsi="方正小标宋_GBK" w:eastAsia="方正小标宋_GBK"/>
          <w:b/>
          <w:bCs/>
          <w:color w:val="000000"/>
          <w:sz w:val="36"/>
        </w:rPr>
      </w:pPr>
      <w:bookmarkStart w:id="0" w:name="_GoBack"/>
      <w:bookmarkEnd w:id="0"/>
      <w:r>
        <w:rPr>
          <w:rFonts w:hint="eastAsia" w:ascii="方正小标宋_GBK" w:hAnsi="方正小标宋_GBK" w:eastAsia="方正小标宋_GBK"/>
          <w:b/>
          <w:bCs/>
          <w:color w:val="000000"/>
          <w:sz w:val="36"/>
        </w:rPr>
        <w:t>《中国人民银行 中国证监会 国家外汇管理局关于境外机构投资者投资中国债券市场有关事宜的公告</w:t>
      </w:r>
    </w:p>
    <w:p>
      <w:pPr>
        <w:adjustRightInd w:val="0"/>
        <w:snapToGrid w:val="0"/>
        <w:spacing w:line="560" w:lineRule="exact"/>
        <w:jc w:val="center"/>
        <w:rPr>
          <w:rFonts w:hint="eastAsia" w:ascii="方正小标宋_GBK" w:hAnsi="方正小标宋_GBK" w:eastAsia="方正小标宋_GBK"/>
          <w:b/>
          <w:bCs/>
          <w:color w:val="000000"/>
          <w:sz w:val="36"/>
        </w:rPr>
      </w:pPr>
      <w:r>
        <w:rPr>
          <w:rFonts w:hint="eastAsia" w:ascii="方正小标宋_GBK" w:hAnsi="方正小标宋_GBK" w:eastAsia="方正小标宋_GBK"/>
          <w:b/>
          <w:bCs/>
          <w:color w:val="000000"/>
          <w:sz w:val="36"/>
          <w:lang w:eastAsia="zh-CN"/>
        </w:rPr>
        <w:t>（征求意见稿）</w:t>
      </w:r>
      <w:r>
        <w:rPr>
          <w:rFonts w:hint="eastAsia" w:ascii="方正小标宋_GBK" w:hAnsi="方正小标宋_GBK" w:eastAsia="方正小标宋_GBK"/>
          <w:b/>
          <w:bCs/>
          <w:color w:val="000000"/>
          <w:sz w:val="36"/>
        </w:rPr>
        <w:t>》起草说明</w:t>
      </w:r>
    </w:p>
    <w:p>
      <w:pPr>
        <w:adjustRightInd w:val="0"/>
        <w:snapToGrid w:val="0"/>
        <w:spacing w:line="560" w:lineRule="exact"/>
        <w:jc w:val="center"/>
        <w:rPr>
          <w:rFonts w:hint="eastAsia" w:ascii="宋体" w:hAnsi="宋体"/>
          <w:b/>
          <w:bCs/>
          <w:color w:val="000000"/>
          <w:sz w:val="36"/>
        </w:rPr>
      </w:pPr>
    </w:p>
    <w:p>
      <w:pPr>
        <w:adjustRightInd w:val="0"/>
        <w:snapToGrid w:val="0"/>
        <w:spacing w:line="560" w:lineRule="exact"/>
        <w:ind w:firstLine="600" w:firstLineChars="200"/>
        <w:rPr>
          <w:rFonts w:hint="eastAsia" w:ascii="仿宋_GB2312" w:hAnsi="仿宋_GB2312" w:eastAsia="仿宋_GB2312"/>
          <w:color w:val="000000"/>
          <w:sz w:val="30"/>
        </w:rPr>
      </w:pPr>
      <w:r>
        <w:rPr>
          <w:rFonts w:hint="eastAsia" w:ascii="仿宋_GB2312" w:hAnsi="仿宋_GB2312" w:eastAsia="仿宋_GB2312"/>
          <w:color w:val="000000"/>
          <w:kern w:val="0"/>
          <w:sz w:val="30"/>
          <w:lang w:eastAsia="zh-CN"/>
        </w:rPr>
        <w:t>为进一步</w:t>
      </w:r>
      <w:r>
        <w:rPr>
          <w:rFonts w:hint="eastAsia" w:ascii="仿宋_GB2312" w:hAnsi="仿宋_GB2312" w:eastAsia="仿宋_GB2312"/>
          <w:color w:val="000000"/>
          <w:kern w:val="0"/>
          <w:sz w:val="30"/>
        </w:rPr>
        <w:t>加强</w:t>
      </w:r>
      <w:r>
        <w:rPr>
          <w:rFonts w:hint="eastAsia" w:ascii="仿宋_GB2312" w:hAnsi="仿宋_GB2312" w:eastAsia="仿宋_GB2312"/>
          <w:color w:val="000000"/>
          <w:kern w:val="0"/>
          <w:sz w:val="30"/>
          <w:lang w:eastAsia="zh-CN"/>
        </w:rPr>
        <w:t>中国</w:t>
      </w:r>
      <w:r>
        <w:rPr>
          <w:rFonts w:hint="eastAsia" w:ascii="仿宋_GB2312" w:hAnsi="仿宋_GB2312" w:eastAsia="仿宋_GB2312"/>
          <w:color w:val="000000"/>
          <w:kern w:val="0"/>
          <w:sz w:val="30"/>
        </w:rPr>
        <w:t>债券市场对外开放的</w:t>
      </w:r>
      <w:r>
        <w:rPr>
          <w:rFonts w:hint="eastAsia" w:ascii="仿宋_GB2312" w:hAnsi="仿宋_GB2312" w:eastAsia="仿宋_GB2312"/>
          <w:color w:val="000000"/>
          <w:kern w:val="0"/>
          <w:sz w:val="30"/>
          <w:lang w:eastAsia="zh-CN"/>
        </w:rPr>
        <w:t>系统性、</w:t>
      </w:r>
      <w:r>
        <w:rPr>
          <w:rFonts w:hint="eastAsia" w:ascii="仿宋_GB2312" w:hAnsi="仿宋_GB2312" w:eastAsia="仿宋_GB2312"/>
          <w:color w:val="000000"/>
          <w:kern w:val="0"/>
          <w:sz w:val="30"/>
        </w:rPr>
        <w:t>整体性</w:t>
      </w:r>
      <w:r>
        <w:rPr>
          <w:rFonts w:hint="eastAsia" w:ascii="仿宋_GB2312" w:hAnsi="仿宋_GB2312" w:eastAsia="仿宋_GB2312"/>
          <w:color w:val="000000"/>
          <w:kern w:val="0"/>
          <w:sz w:val="30"/>
          <w:lang w:eastAsia="zh-CN"/>
        </w:rPr>
        <w:t>、协同性，</w:t>
      </w:r>
      <w:r>
        <w:rPr>
          <w:rFonts w:hint="eastAsia" w:ascii="仿宋_GB2312" w:hAnsi="仿宋_GB2312" w:eastAsia="仿宋_GB2312"/>
          <w:color w:val="000000"/>
          <w:kern w:val="0"/>
          <w:sz w:val="30"/>
        </w:rPr>
        <w:t>同步推进相关市场规则逐步统一，</w:t>
      </w:r>
      <w:r>
        <w:rPr>
          <w:rFonts w:hint="eastAsia" w:ascii="仿宋_GB2312" w:hAnsi="仿宋_GB2312" w:eastAsia="仿宋_GB2312"/>
          <w:color w:val="000000"/>
          <w:sz w:val="30"/>
        </w:rPr>
        <w:t>人民银行</w:t>
      </w:r>
      <w:r>
        <w:rPr>
          <w:rFonts w:hint="eastAsia" w:ascii="仿宋_GB2312" w:hAnsi="仿宋_GB2312" w:eastAsia="仿宋_GB2312"/>
          <w:color w:val="000000"/>
          <w:sz w:val="30"/>
          <w:lang w:eastAsia="zh-CN"/>
        </w:rPr>
        <w:t>与</w:t>
      </w:r>
      <w:r>
        <w:rPr>
          <w:rFonts w:hint="eastAsia" w:ascii="仿宋_GB2312" w:hAnsi="仿宋_GB2312" w:eastAsia="仿宋_GB2312"/>
          <w:color w:val="000000"/>
          <w:sz w:val="30"/>
        </w:rPr>
        <w:t>证监会</w:t>
      </w:r>
      <w:r>
        <w:rPr>
          <w:rFonts w:hint="eastAsia" w:ascii="仿宋_GB2312" w:hAnsi="仿宋_GB2312" w:eastAsia="仿宋_GB2312"/>
          <w:color w:val="000000"/>
          <w:sz w:val="30"/>
          <w:lang w:eastAsia="zh-CN"/>
        </w:rPr>
        <w:t>、</w:t>
      </w:r>
      <w:r>
        <w:rPr>
          <w:rFonts w:hint="eastAsia" w:ascii="仿宋_GB2312" w:hAnsi="仿宋_GB2312" w:eastAsia="仿宋_GB2312"/>
          <w:color w:val="000000"/>
          <w:sz w:val="30"/>
        </w:rPr>
        <w:t>外汇局</w:t>
      </w:r>
      <w:r>
        <w:rPr>
          <w:rFonts w:hint="eastAsia" w:ascii="仿宋_GB2312" w:hAnsi="仿宋_GB2312" w:eastAsia="仿宋_GB2312"/>
          <w:color w:val="000000"/>
          <w:sz w:val="30"/>
          <w:lang w:eastAsia="zh-CN"/>
        </w:rPr>
        <w:t>共同</w:t>
      </w:r>
      <w:r>
        <w:rPr>
          <w:rFonts w:hint="eastAsia" w:ascii="仿宋_GB2312" w:hAnsi="仿宋_GB2312" w:eastAsia="仿宋_GB2312"/>
          <w:color w:val="000000"/>
          <w:sz w:val="30"/>
        </w:rPr>
        <w:t>起草了《中国人民银行 中国证监会 国家外汇管理局关于境外机构投资者投资中国债券市场有关事宜的公告</w:t>
      </w:r>
      <w:r>
        <w:rPr>
          <w:rFonts w:hint="eastAsia" w:ascii="仿宋_GB2312" w:hAnsi="仿宋_GB2312" w:eastAsia="仿宋_GB2312"/>
          <w:color w:val="000000"/>
          <w:sz w:val="30"/>
          <w:lang w:eastAsia="zh-CN"/>
        </w:rPr>
        <w:t>（征求意见稿）</w:t>
      </w:r>
      <w:r>
        <w:rPr>
          <w:rFonts w:hint="eastAsia" w:ascii="仿宋_GB2312" w:hAnsi="仿宋_GB2312" w:eastAsia="仿宋_GB2312"/>
          <w:color w:val="000000"/>
          <w:sz w:val="30"/>
        </w:rPr>
        <w:t>》（以下简称《公告》），</w:t>
      </w:r>
      <w:r>
        <w:rPr>
          <w:rFonts w:hint="eastAsia" w:ascii="仿宋_GB2312" w:hAnsi="仿宋_GB2312" w:eastAsia="仿宋_GB2312"/>
          <w:color w:val="000000"/>
          <w:sz w:val="30"/>
          <w:lang w:eastAsia="zh-CN"/>
        </w:rPr>
        <w:t>旨在</w:t>
      </w:r>
      <w:r>
        <w:rPr>
          <w:rFonts w:hint="eastAsia" w:ascii="仿宋_GB2312" w:hAnsi="仿宋_GB2312" w:eastAsia="仿宋_GB2312"/>
          <w:color w:val="000000"/>
          <w:sz w:val="30"/>
        </w:rPr>
        <w:t>明确</w:t>
      </w:r>
      <w:r>
        <w:rPr>
          <w:rFonts w:hint="eastAsia" w:ascii="仿宋_GB2312" w:hAnsi="仿宋_GB2312" w:eastAsia="仿宋_GB2312"/>
          <w:color w:val="000000"/>
          <w:sz w:val="30"/>
          <w:lang w:eastAsia="zh-CN"/>
        </w:rPr>
        <w:t>中</w:t>
      </w:r>
      <w:r>
        <w:rPr>
          <w:rFonts w:hint="eastAsia" w:ascii="仿宋_GB2312" w:hAnsi="仿宋_GB2312" w:eastAsia="仿宋_GB2312"/>
          <w:color w:val="000000"/>
          <w:sz w:val="30"/>
        </w:rPr>
        <w:t>国债券市场对外开放</w:t>
      </w:r>
      <w:r>
        <w:rPr>
          <w:rFonts w:hint="eastAsia" w:ascii="仿宋_GB2312" w:hAnsi="仿宋_GB2312" w:eastAsia="仿宋_GB2312"/>
          <w:color w:val="000000"/>
          <w:sz w:val="30"/>
          <w:lang w:eastAsia="zh-CN"/>
        </w:rPr>
        <w:t>的</w:t>
      </w:r>
      <w:r>
        <w:rPr>
          <w:rFonts w:hint="eastAsia" w:ascii="仿宋_GB2312" w:hAnsi="仿宋_GB2312" w:eastAsia="仿宋_GB2312"/>
          <w:color w:val="000000"/>
          <w:sz w:val="30"/>
        </w:rPr>
        <w:t>整体性</w:t>
      </w:r>
      <w:r>
        <w:rPr>
          <w:rFonts w:hint="eastAsia" w:ascii="仿宋_GB2312" w:hAnsi="仿宋_GB2312" w:eastAsia="仿宋_GB2312"/>
          <w:color w:val="000000"/>
          <w:sz w:val="30"/>
          <w:lang w:eastAsia="zh-CN"/>
        </w:rPr>
        <w:t>制度</w:t>
      </w:r>
      <w:r>
        <w:rPr>
          <w:rFonts w:hint="eastAsia" w:ascii="仿宋_GB2312" w:hAnsi="仿宋_GB2312" w:eastAsia="仿宋_GB2312"/>
          <w:color w:val="000000"/>
          <w:sz w:val="30"/>
        </w:rPr>
        <w:t>安排</w:t>
      </w:r>
      <w:r>
        <w:rPr>
          <w:rFonts w:hint="eastAsia" w:ascii="仿宋_GB2312" w:hAnsi="仿宋_GB2312" w:eastAsia="仿宋_GB2312"/>
          <w:color w:val="000000"/>
          <w:sz w:val="30"/>
          <w:lang w:eastAsia="zh-CN"/>
        </w:rPr>
        <w:t>，进一步便利境外机构投资者配置人民币债券资产</w:t>
      </w:r>
      <w:r>
        <w:rPr>
          <w:rFonts w:hint="eastAsia" w:ascii="仿宋_GB2312" w:hAnsi="仿宋_GB2312" w:eastAsia="仿宋_GB2312"/>
          <w:color w:val="000000"/>
          <w:sz w:val="30"/>
        </w:rPr>
        <w:t>。</w:t>
      </w:r>
    </w:p>
    <w:p>
      <w:pPr>
        <w:adjustRightInd w:val="0"/>
        <w:snapToGrid w:val="0"/>
        <w:spacing w:line="560" w:lineRule="exact"/>
        <w:ind w:firstLine="600" w:firstLineChars="200"/>
        <w:rPr>
          <w:rFonts w:hint="eastAsia" w:ascii="黑体" w:hAnsi="黑体" w:eastAsia="黑体"/>
          <w:color w:val="000000"/>
          <w:sz w:val="30"/>
        </w:rPr>
      </w:pPr>
      <w:r>
        <w:rPr>
          <w:rFonts w:hint="eastAsia" w:ascii="黑体" w:hAnsi="黑体" w:eastAsia="黑体"/>
          <w:color w:val="000000"/>
          <w:sz w:val="30"/>
        </w:rPr>
        <w:t>一、</w:t>
      </w:r>
      <w:r>
        <w:rPr>
          <w:rFonts w:hint="eastAsia" w:ascii="黑体" w:hAnsi="黑体" w:eastAsia="黑体"/>
          <w:color w:val="000000"/>
          <w:sz w:val="30"/>
          <w:lang w:eastAsia="zh-CN"/>
        </w:rPr>
        <w:t>《公告》</w:t>
      </w:r>
      <w:r>
        <w:rPr>
          <w:rFonts w:hint="eastAsia" w:ascii="黑体" w:hAnsi="黑体" w:eastAsia="黑体"/>
          <w:color w:val="000000"/>
          <w:sz w:val="30"/>
        </w:rPr>
        <w:t>起草思路</w:t>
      </w:r>
    </w:p>
    <w:p>
      <w:pPr>
        <w:pStyle w:val="9"/>
        <w:spacing w:line="560" w:lineRule="exact"/>
        <w:ind w:firstLine="614" w:firstLineChars="200"/>
        <w:rPr>
          <w:rFonts w:hint="default" w:hAnsi="仿宋_GB2312" w:eastAsia="Times New Roman"/>
          <w:color w:val="000000"/>
        </w:rPr>
      </w:pPr>
      <w:r>
        <w:rPr>
          <w:rFonts w:hint="eastAsia" w:hAnsi="仿宋_GB2312"/>
          <w:b/>
          <w:color w:val="000000"/>
          <w:lang w:eastAsia="zh-CN"/>
        </w:rPr>
        <w:t>一</w:t>
      </w:r>
      <w:r>
        <w:rPr>
          <w:rFonts w:hint="eastAsia" w:hAnsi="仿宋_GB2312"/>
          <w:b/>
          <w:color w:val="000000"/>
        </w:rPr>
        <w:t>是坚持</w:t>
      </w:r>
      <w:r>
        <w:rPr>
          <w:rFonts w:hint="eastAsia" w:hAnsi="仿宋_GB2312"/>
          <w:b/>
          <w:color w:val="000000"/>
          <w:lang w:eastAsia="zh-CN"/>
        </w:rPr>
        <w:t>法治化原则</w:t>
      </w:r>
      <w:r>
        <w:rPr>
          <w:rFonts w:hint="eastAsia" w:hAnsi="仿宋_GB2312"/>
          <w:b/>
          <w:color w:val="000000"/>
        </w:rPr>
        <w:t>。</w:t>
      </w:r>
      <w:r>
        <w:rPr>
          <w:rFonts w:hint="eastAsia" w:hAnsi="仿宋_GB2312"/>
          <w:color w:val="000000"/>
          <w:lang w:eastAsia="zh-CN"/>
        </w:rPr>
        <w:t>将境外机构准入申请从产品调整为管理人、托管人，按照法人机构是市场活动主体和监管对象的基本思路，</w:t>
      </w:r>
      <w:r>
        <w:rPr>
          <w:rFonts w:hint="eastAsia" w:hAnsi="仿宋_GB2312"/>
          <w:color w:val="000000"/>
        </w:rPr>
        <w:t>夯实</w:t>
      </w:r>
      <w:r>
        <w:rPr>
          <w:rFonts w:hint="eastAsia" w:hAnsi="仿宋_GB2312"/>
          <w:color w:val="000000"/>
          <w:lang w:eastAsia="zh-CN"/>
        </w:rPr>
        <w:t>各方责任义务，便利相关操作</w:t>
      </w:r>
      <w:r>
        <w:rPr>
          <w:rFonts w:hint="eastAsia" w:hAnsi="仿宋_GB2312"/>
          <w:color w:val="000000"/>
        </w:rPr>
        <w:t>。</w:t>
      </w:r>
    </w:p>
    <w:p>
      <w:pPr>
        <w:pStyle w:val="9"/>
        <w:spacing w:line="560" w:lineRule="exact"/>
        <w:ind w:firstLine="614" w:firstLineChars="200"/>
        <w:rPr>
          <w:rFonts w:hint="eastAsia" w:ascii="仿宋_GB2312" w:hAnsi="仿宋_GB2312" w:eastAsia="仿宋_GB2312"/>
          <w:color w:val="000000"/>
          <w:spacing w:val="4"/>
          <w:sz w:val="30"/>
        </w:rPr>
      </w:pPr>
      <w:r>
        <w:rPr>
          <w:rFonts w:hint="eastAsia" w:hAnsi="仿宋_GB2312"/>
          <w:b/>
          <w:bCs/>
          <w:color w:val="000000"/>
          <w:lang w:val="en-US" w:eastAsia="zh-CN"/>
        </w:rPr>
        <w:t>二</w:t>
      </w:r>
      <w:r>
        <w:rPr>
          <w:rFonts w:hAnsi="仿宋_GB2312"/>
          <w:b/>
          <w:bCs/>
          <w:color w:val="000000"/>
        </w:rPr>
        <w:t>是统一准入管理。</w:t>
      </w:r>
      <w:r>
        <w:rPr>
          <w:rFonts w:hint="eastAsia" w:ascii="仿宋_GB2312" w:hAnsi="仿宋_GB2312" w:eastAsia="仿宋_GB2312"/>
          <w:color w:val="000000"/>
          <w:spacing w:val="4"/>
          <w:sz w:val="30"/>
        </w:rPr>
        <w:t>按照“同一套标准、同一套规则的一个中国债券市场”的原则</w:t>
      </w:r>
      <w:r>
        <w:rPr>
          <w:rFonts w:hint="eastAsia" w:hAnsi="仿宋_GB2312"/>
          <w:color w:val="000000"/>
          <w:spacing w:val="4"/>
          <w:sz w:val="30"/>
          <w:lang w:eastAsia="zh-CN"/>
        </w:rPr>
        <w:t>，</w:t>
      </w:r>
      <w:r>
        <w:rPr>
          <w:rFonts w:hAnsi="仿宋_GB2312"/>
          <w:color w:val="000000"/>
        </w:rPr>
        <w:t>统一准入标准，优化入市流程，鼓励境外机构作为中长期投资者投资我国债券市场。</w:t>
      </w:r>
      <w:r>
        <w:rPr>
          <w:rFonts w:hint="eastAsia" w:ascii="仿宋_GB2312" w:hAnsi="仿宋_GB2312" w:eastAsia="仿宋_GB2312"/>
          <w:color w:val="000000"/>
          <w:spacing w:val="4"/>
          <w:sz w:val="30"/>
        </w:rPr>
        <w:t>已进入银行间债券市场的境外机构投资者可以直接或通过互联互通方式投资交易所债券市场。</w:t>
      </w:r>
    </w:p>
    <w:p>
      <w:pPr>
        <w:pStyle w:val="9"/>
        <w:spacing w:line="560" w:lineRule="exact"/>
        <w:ind w:firstLine="618" w:firstLineChars="200"/>
        <w:rPr>
          <w:rFonts w:hint="eastAsia" w:ascii="仿宋_GB2312" w:hAnsi="仿宋_GB2312" w:eastAsia="仿宋_GB2312"/>
          <w:color w:val="000000"/>
          <w:spacing w:val="4"/>
          <w:sz w:val="30"/>
        </w:rPr>
      </w:pPr>
      <w:r>
        <w:rPr>
          <w:rFonts w:hint="eastAsia" w:hAnsi="仿宋_GB2312"/>
          <w:b/>
          <w:bCs/>
          <w:color w:val="000000"/>
          <w:spacing w:val="4"/>
          <w:sz w:val="30"/>
          <w:lang w:eastAsia="zh-CN"/>
        </w:rPr>
        <w:t>三</w:t>
      </w:r>
      <w:r>
        <w:rPr>
          <w:rFonts w:hint="eastAsia" w:ascii="仿宋_GB2312" w:hAnsi="仿宋_GB2312" w:eastAsia="仿宋_GB2312"/>
          <w:b/>
          <w:bCs/>
          <w:color w:val="000000"/>
          <w:spacing w:val="4"/>
          <w:sz w:val="30"/>
        </w:rPr>
        <w:t>是统一资金管理。</w:t>
      </w:r>
      <w:r>
        <w:rPr>
          <w:rFonts w:hint="eastAsia" w:ascii="仿宋_GB2312" w:hAnsi="仿宋_GB2312" w:eastAsia="仿宋_GB2312"/>
          <w:color w:val="000000"/>
          <w:spacing w:val="4"/>
          <w:sz w:val="30"/>
        </w:rPr>
        <w:t>统一境外机构投资中国债券市场资金收付、汇兑、外汇风险管理等，进一步优化和便利投资资金汇出入，完善资金汇兑和外汇风险管理操作。</w:t>
      </w:r>
    </w:p>
    <w:p>
      <w:pPr>
        <w:pStyle w:val="9"/>
        <w:spacing w:line="560" w:lineRule="exact"/>
        <w:ind w:firstLine="614" w:firstLineChars="200"/>
        <w:rPr>
          <w:rFonts w:hint="eastAsia" w:hAnsi="仿宋_GB2312"/>
          <w:color w:val="000000"/>
          <w:lang w:eastAsia="zh-CN"/>
        </w:rPr>
      </w:pPr>
      <w:r>
        <w:rPr>
          <w:rFonts w:hint="eastAsia" w:hAnsi="仿宋_GB2312"/>
          <w:b/>
          <w:color w:val="000000"/>
          <w:lang w:val="en-US" w:eastAsia="zh-CN"/>
        </w:rPr>
        <w:t>四</w:t>
      </w:r>
      <w:r>
        <w:rPr>
          <w:rFonts w:hint="eastAsia" w:hAnsi="仿宋_GB2312"/>
          <w:b/>
          <w:color w:val="000000"/>
        </w:rPr>
        <w:t>是</w:t>
      </w:r>
      <w:r>
        <w:rPr>
          <w:rFonts w:hint="eastAsia" w:hAnsi="仿宋_GB2312"/>
          <w:b/>
          <w:color w:val="000000"/>
          <w:lang w:eastAsia="zh-CN"/>
        </w:rPr>
        <w:t>完善</w:t>
      </w:r>
      <w:r>
        <w:rPr>
          <w:rFonts w:hint="eastAsia" w:hAnsi="仿宋_GB2312"/>
          <w:b/>
          <w:color w:val="000000"/>
        </w:rPr>
        <w:t>与国际接轨的</w:t>
      </w:r>
      <w:r>
        <w:rPr>
          <w:rFonts w:hint="eastAsia" w:hAnsi="仿宋_GB2312"/>
          <w:b/>
          <w:color w:val="000000"/>
          <w:lang w:eastAsia="zh-CN"/>
        </w:rPr>
        <w:t>操作安排。</w:t>
      </w:r>
      <w:r>
        <w:rPr>
          <w:rFonts w:hint="eastAsia" w:hAnsi="仿宋_GB2312"/>
          <w:color w:val="000000"/>
          <w:lang w:eastAsia="zh-CN"/>
        </w:rPr>
        <w:t>简化现行结算代理模式入市流程，上海总部不再要求提交结算代理协议。允许境外机构按照</w:t>
      </w:r>
      <w:r>
        <w:rPr>
          <w:rFonts w:hint="default" w:hAnsi="仿宋_GB2312"/>
          <w:color w:val="000000"/>
          <w:lang w:eastAsia="zh-CN"/>
        </w:rPr>
        <w:t>“</w:t>
      </w:r>
      <w:r>
        <w:rPr>
          <w:rFonts w:hint="eastAsia" w:hAnsi="仿宋_GB2312"/>
          <w:color w:val="000000"/>
          <w:lang w:eastAsia="zh-CN"/>
        </w:rPr>
        <w:t>全球托管行</w:t>
      </w:r>
      <w:r>
        <w:rPr>
          <w:rFonts w:hint="default" w:hAnsi="仿宋_GB2312"/>
          <w:color w:val="000000"/>
          <w:lang w:eastAsia="zh-CN"/>
        </w:rPr>
        <w:t>+</w:t>
      </w:r>
      <w:r>
        <w:rPr>
          <w:rFonts w:hint="eastAsia" w:hAnsi="仿宋_GB2312"/>
          <w:color w:val="000000"/>
          <w:lang w:eastAsia="zh-CN"/>
        </w:rPr>
        <w:t>本地托管行</w:t>
      </w:r>
      <w:r>
        <w:rPr>
          <w:rFonts w:hint="default" w:hAnsi="仿宋_GB2312"/>
          <w:color w:val="000000"/>
          <w:lang w:eastAsia="zh-CN"/>
        </w:rPr>
        <w:t>”</w:t>
      </w:r>
      <w:r>
        <w:rPr>
          <w:rFonts w:hint="eastAsia" w:hAnsi="仿宋_GB2312"/>
          <w:color w:val="000000"/>
          <w:lang w:eastAsia="zh-CN"/>
        </w:rPr>
        <w:t>的模式入市投资，推动债券名义持有和多级托管制度落地实施。</w:t>
      </w:r>
    </w:p>
    <w:p>
      <w:pPr>
        <w:pStyle w:val="9"/>
        <w:spacing w:line="560" w:lineRule="exact"/>
        <w:ind w:firstLine="614" w:firstLineChars="200"/>
        <w:rPr>
          <w:rFonts w:hAnsi="黑体"/>
          <w:color w:val="000000"/>
          <w:szCs w:val="32"/>
        </w:rPr>
      </w:pPr>
      <w:r>
        <w:rPr>
          <w:rFonts w:hint="eastAsia" w:hAnsi="仿宋_GB2312"/>
          <w:b/>
          <w:color w:val="000000"/>
          <w:lang w:eastAsia="zh-CN"/>
        </w:rPr>
        <w:t>五</w:t>
      </w:r>
      <w:r>
        <w:rPr>
          <w:rFonts w:hint="eastAsia" w:hAnsi="仿宋_GB2312"/>
          <w:b/>
          <w:color w:val="000000"/>
        </w:rPr>
        <w:t>是</w:t>
      </w:r>
      <w:r>
        <w:rPr>
          <w:rFonts w:hint="eastAsia" w:hAnsi="仿宋_GB2312"/>
          <w:b/>
          <w:color w:val="000000"/>
          <w:lang w:eastAsia="zh-CN"/>
        </w:rPr>
        <w:t>深化跨部门监管合作</w:t>
      </w:r>
      <w:r>
        <w:rPr>
          <w:rFonts w:hint="eastAsia" w:hAnsi="仿宋_GB2312"/>
          <w:b/>
          <w:color w:val="000000"/>
        </w:rPr>
        <w:t>。</w:t>
      </w:r>
      <w:r>
        <w:rPr>
          <w:rFonts w:hint="eastAsia" w:hAnsi="仿宋_GB2312"/>
          <w:color w:val="000000"/>
        </w:rPr>
        <w:t>坚持穿透式</w:t>
      </w:r>
      <w:r>
        <w:rPr>
          <w:rFonts w:hint="eastAsia" w:hAnsi="仿宋_GB2312"/>
          <w:color w:val="000000"/>
          <w:lang w:eastAsia="zh-CN"/>
        </w:rPr>
        <w:t>数据和信息收集</w:t>
      </w:r>
      <w:r>
        <w:rPr>
          <w:rFonts w:hint="eastAsia" w:hAnsi="仿宋_GB2312"/>
          <w:color w:val="000000"/>
        </w:rPr>
        <w:t>。</w:t>
      </w:r>
      <w:r>
        <w:rPr>
          <w:rFonts w:hint="eastAsia" w:hAnsi="黑体"/>
          <w:color w:val="000000"/>
        </w:rPr>
        <w:t>人民银行、证监会、外汇局按照职责分工</w:t>
      </w:r>
      <w:r>
        <w:rPr>
          <w:rFonts w:hint="eastAsia" w:hAnsi="黑体"/>
          <w:color w:val="000000"/>
          <w:lang w:eastAsia="zh-CN"/>
        </w:rPr>
        <w:t>形成</w:t>
      </w:r>
      <w:r>
        <w:rPr>
          <w:rFonts w:hint="eastAsia" w:hAnsi="黑体"/>
          <w:color w:val="000000"/>
        </w:rPr>
        <w:t>监管</w:t>
      </w:r>
      <w:r>
        <w:rPr>
          <w:rFonts w:hint="eastAsia" w:hAnsi="黑体"/>
          <w:color w:val="000000"/>
          <w:lang w:eastAsia="zh-CN"/>
        </w:rPr>
        <w:t>合力</w:t>
      </w:r>
      <w:r>
        <w:rPr>
          <w:rFonts w:hint="eastAsia" w:hAnsi="黑体"/>
          <w:color w:val="000000"/>
        </w:rPr>
        <w:t>，并通过交易报告制度实现信息与数据互通共享，提升市场透明度，共同维护良好市场环境。</w:t>
      </w:r>
    </w:p>
    <w:p>
      <w:pPr>
        <w:adjustRightInd w:val="0"/>
        <w:snapToGrid w:val="0"/>
        <w:spacing w:line="560" w:lineRule="exact"/>
        <w:ind w:firstLine="600" w:firstLineChars="200"/>
        <w:rPr>
          <w:rFonts w:hint="eastAsia" w:ascii="黑体" w:hAnsi="黑体" w:eastAsia="黑体"/>
          <w:color w:val="000000"/>
          <w:sz w:val="30"/>
        </w:rPr>
      </w:pPr>
      <w:r>
        <w:rPr>
          <w:rFonts w:hint="eastAsia" w:ascii="黑体" w:hAnsi="黑体" w:eastAsia="黑体"/>
          <w:color w:val="000000"/>
          <w:sz w:val="30"/>
          <w:lang w:eastAsia="zh-CN"/>
        </w:rPr>
        <w:t>二、</w:t>
      </w:r>
      <w:r>
        <w:rPr>
          <w:rFonts w:hint="eastAsia" w:ascii="黑体" w:hAnsi="黑体" w:eastAsia="黑体"/>
          <w:color w:val="000000"/>
          <w:sz w:val="30"/>
        </w:rPr>
        <w:t>《公告》主要内容</w:t>
      </w:r>
    </w:p>
    <w:p>
      <w:pPr>
        <w:adjustRightInd w:val="0"/>
        <w:snapToGrid w:val="0"/>
        <w:spacing w:line="560" w:lineRule="exact"/>
        <w:ind w:firstLine="616" w:firstLineChars="200"/>
        <w:rPr>
          <w:rFonts w:hint="eastAsia" w:ascii="仿宋_GB2312" w:hAnsi="仿宋_GB2312" w:eastAsia="仿宋_GB2312"/>
          <w:color w:val="000000"/>
          <w:spacing w:val="4"/>
          <w:sz w:val="30"/>
        </w:rPr>
      </w:pPr>
      <w:r>
        <w:rPr>
          <w:rFonts w:hint="eastAsia" w:ascii="仿宋_GB2312" w:hAnsi="仿宋_GB2312" w:eastAsia="仿宋_GB2312"/>
          <w:color w:val="000000"/>
          <w:spacing w:val="4"/>
          <w:sz w:val="30"/>
        </w:rPr>
        <w:t>《公告》共十六条，主要包括如下内容：</w:t>
      </w:r>
    </w:p>
    <w:p>
      <w:pPr>
        <w:adjustRightInd w:val="0"/>
        <w:snapToGrid w:val="0"/>
        <w:spacing w:line="560" w:lineRule="exact"/>
        <w:ind w:firstLine="618" w:firstLineChars="200"/>
        <w:rPr>
          <w:rFonts w:hint="eastAsia" w:ascii="楷体" w:hAnsi="楷体" w:eastAsia="楷体"/>
          <w:b/>
          <w:color w:val="000000"/>
          <w:spacing w:val="4"/>
          <w:sz w:val="30"/>
        </w:rPr>
      </w:pPr>
      <w:r>
        <w:rPr>
          <w:rFonts w:hint="eastAsia" w:ascii="楷体" w:hAnsi="楷体" w:eastAsia="楷体"/>
          <w:b/>
          <w:color w:val="000000"/>
          <w:spacing w:val="4"/>
          <w:sz w:val="30"/>
        </w:rPr>
        <w:t>（一）关于</w:t>
      </w:r>
      <w:r>
        <w:rPr>
          <w:rFonts w:hint="eastAsia" w:ascii="楷体" w:hAnsi="楷体" w:eastAsia="楷体"/>
          <w:b/>
          <w:color w:val="000000"/>
          <w:spacing w:val="4"/>
          <w:sz w:val="30"/>
          <w:lang w:eastAsia="zh-CN"/>
        </w:rPr>
        <w:t>境外机构入市要求</w:t>
      </w:r>
      <w:r>
        <w:rPr>
          <w:rFonts w:hint="eastAsia" w:ascii="楷体" w:hAnsi="楷体" w:eastAsia="楷体"/>
          <w:b/>
          <w:color w:val="000000"/>
          <w:spacing w:val="4"/>
          <w:sz w:val="30"/>
        </w:rPr>
        <w:t>。</w:t>
      </w:r>
    </w:p>
    <w:p>
      <w:pPr>
        <w:adjustRightInd w:val="0"/>
        <w:snapToGrid w:val="0"/>
        <w:spacing w:line="560" w:lineRule="exact"/>
        <w:ind w:firstLine="616" w:firstLineChars="200"/>
        <w:jc w:val="both"/>
        <w:rPr>
          <w:rFonts w:hint="eastAsia" w:ascii="仿宋_GB2312" w:hAnsi="仿宋_GB2312" w:eastAsia="仿宋_GB2312"/>
          <w:color w:val="000000"/>
          <w:spacing w:val="4"/>
          <w:sz w:val="30"/>
        </w:rPr>
      </w:pPr>
      <w:r>
        <w:rPr>
          <w:rFonts w:hint="eastAsia" w:ascii="仿宋_GB2312" w:hAnsi="仿宋_GB2312" w:eastAsia="仿宋_GB2312"/>
          <w:color w:val="000000"/>
          <w:spacing w:val="4"/>
          <w:sz w:val="30"/>
        </w:rPr>
        <w:t>《公告》明确了境外机构范围既包括境外央行、货币当局、国际金融组织、主权财富基金等主权类机构，也包括在</w:t>
      </w:r>
      <w:r>
        <w:rPr>
          <w:rFonts w:hint="eastAsia" w:ascii="仿宋_GB2312" w:hAnsi="仿宋_GB2312" w:eastAsia="仿宋_GB2312"/>
          <w:color w:val="000000"/>
          <w:spacing w:val="4"/>
          <w:sz w:val="30"/>
          <w:lang w:eastAsia="zh-CN"/>
        </w:rPr>
        <w:t>我</w:t>
      </w:r>
      <w:r>
        <w:rPr>
          <w:rFonts w:hint="eastAsia" w:ascii="仿宋_GB2312" w:hAnsi="仿宋_GB2312" w:eastAsia="仿宋_GB2312"/>
          <w:color w:val="000000"/>
          <w:spacing w:val="4"/>
          <w:sz w:val="30"/>
        </w:rPr>
        <w:t>国境外依法注册成立的商业银行、保险公司、证券公司、基金管理公司、期货公司、信托公司、资产管理机构等商业类机构。</w:t>
      </w:r>
      <w:r>
        <w:rPr>
          <w:rFonts w:hint="eastAsia" w:ascii="仿宋_GB2312" w:hAnsi="仿宋_GB2312" w:eastAsia="仿宋_GB2312"/>
          <w:color w:val="000000"/>
          <w:spacing w:val="4"/>
          <w:sz w:val="30"/>
          <w:lang w:eastAsia="zh-CN"/>
        </w:rPr>
        <w:t>境外机构入市方式与现行规定保持一致，即主权类机构需向人民银行提交申请，商业类机构需向人民银行上海总部提交申请。境外机构不再以产品名义提交申请，无需逐只产品入市。</w:t>
      </w:r>
    </w:p>
    <w:p>
      <w:pPr>
        <w:adjustRightInd w:val="0"/>
        <w:snapToGrid w:val="0"/>
        <w:spacing w:line="560" w:lineRule="exact"/>
        <w:ind w:firstLine="618" w:firstLineChars="200"/>
        <w:rPr>
          <w:rFonts w:hint="eastAsia" w:ascii="楷体" w:hAnsi="楷体" w:eastAsia="楷体"/>
          <w:b/>
          <w:color w:val="000000"/>
          <w:spacing w:val="4"/>
          <w:sz w:val="30"/>
        </w:rPr>
      </w:pPr>
      <w:r>
        <w:rPr>
          <w:rFonts w:hint="eastAsia" w:ascii="楷体" w:hAnsi="楷体" w:eastAsia="楷体"/>
          <w:b/>
          <w:color w:val="000000"/>
          <w:spacing w:val="4"/>
          <w:sz w:val="30"/>
        </w:rPr>
        <w:t>（二）关于</w:t>
      </w:r>
      <w:r>
        <w:rPr>
          <w:rFonts w:hint="eastAsia" w:ascii="楷体" w:hAnsi="楷体" w:eastAsia="楷体"/>
          <w:b/>
          <w:color w:val="000000"/>
          <w:spacing w:val="4"/>
          <w:sz w:val="30"/>
          <w:lang w:eastAsia="zh-CN"/>
        </w:rPr>
        <w:t>投资方式及投资范围</w:t>
      </w:r>
      <w:r>
        <w:rPr>
          <w:rFonts w:hint="eastAsia" w:ascii="楷体" w:hAnsi="楷体" w:eastAsia="楷体"/>
          <w:b/>
          <w:color w:val="000000"/>
          <w:spacing w:val="4"/>
          <w:sz w:val="30"/>
        </w:rPr>
        <w:t>。</w:t>
      </w:r>
    </w:p>
    <w:p>
      <w:pPr>
        <w:adjustRightInd w:val="0"/>
        <w:snapToGrid w:val="0"/>
        <w:spacing w:line="560" w:lineRule="exact"/>
        <w:ind w:firstLine="616" w:firstLineChars="200"/>
        <w:rPr>
          <w:rFonts w:hint="eastAsia" w:ascii="仿宋_GB2312" w:hAnsi="仿宋_GB2312" w:eastAsia="仿宋_GB2312"/>
          <w:color w:val="000000"/>
          <w:spacing w:val="4"/>
          <w:sz w:val="30"/>
          <w:lang w:eastAsia="zh-CN"/>
        </w:rPr>
      </w:pPr>
      <w:r>
        <w:rPr>
          <w:rFonts w:hint="eastAsia" w:ascii="仿宋_GB2312" w:hAnsi="仿宋_GB2312" w:eastAsia="仿宋_GB2312"/>
          <w:color w:val="000000"/>
          <w:spacing w:val="4"/>
          <w:sz w:val="30"/>
        </w:rPr>
        <w:t>《公告》规定通过直接入市渠道及债券通渠道进入银行间债券市场的</w:t>
      </w:r>
      <w:r>
        <w:rPr>
          <w:rFonts w:hint="eastAsia" w:ascii="仿宋_GB2312" w:hAnsi="仿宋_GB2312" w:eastAsia="仿宋_GB2312"/>
          <w:color w:val="000000"/>
          <w:spacing w:val="4"/>
          <w:sz w:val="30"/>
          <w:lang w:eastAsia="zh-CN"/>
        </w:rPr>
        <w:t>境外</w:t>
      </w:r>
      <w:r>
        <w:rPr>
          <w:rFonts w:hint="eastAsia" w:ascii="仿宋_GB2312" w:hAnsi="仿宋_GB2312" w:eastAsia="仿宋_GB2312"/>
          <w:color w:val="000000"/>
          <w:spacing w:val="4"/>
          <w:sz w:val="30"/>
        </w:rPr>
        <w:t>机构无需重复</w:t>
      </w:r>
      <w:r>
        <w:rPr>
          <w:rFonts w:hint="eastAsia" w:ascii="仿宋_GB2312" w:hAnsi="仿宋_GB2312" w:eastAsia="仿宋_GB2312"/>
          <w:color w:val="000000"/>
          <w:spacing w:val="4"/>
          <w:sz w:val="30"/>
          <w:lang w:eastAsia="zh-CN"/>
        </w:rPr>
        <w:t>申请，</w:t>
      </w:r>
      <w:r>
        <w:rPr>
          <w:rFonts w:hint="eastAsia" w:ascii="仿宋_GB2312" w:hAnsi="仿宋_GB2312" w:eastAsia="仿宋_GB2312"/>
          <w:color w:val="000000"/>
          <w:spacing w:val="4"/>
          <w:sz w:val="30"/>
        </w:rPr>
        <w:t>可直接或通过互联互通投资交易所债券市场。</w:t>
      </w:r>
      <w:r>
        <w:rPr>
          <w:rFonts w:hint="eastAsia" w:ascii="仿宋_GB2312" w:hAnsi="仿宋_GB2312" w:eastAsia="仿宋_GB2312"/>
          <w:color w:val="000000"/>
          <w:spacing w:val="4"/>
          <w:sz w:val="30"/>
          <w:lang w:eastAsia="zh-CN"/>
        </w:rPr>
        <w:t>同时，允许同一境外机构将其在QFII/RQFII项下的债券与根据《公告》所投资的债券在境内进行双向非交易过户。</w:t>
      </w:r>
    </w:p>
    <w:p>
      <w:pPr>
        <w:adjustRightInd w:val="0"/>
        <w:snapToGrid w:val="0"/>
        <w:spacing w:line="560" w:lineRule="exact"/>
        <w:ind w:firstLine="616" w:firstLineChars="200"/>
        <w:rPr>
          <w:rFonts w:hint="eastAsia" w:ascii="仿宋_GB2312" w:hAnsi="仿宋_GB2312" w:eastAsia="仿宋_GB2312"/>
          <w:color w:val="000000"/>
          <w:spacing w:val="4"/>
          <w:sz w:val="30"/>
          <w:lang w:eastAsia="zh-CN"/>
        </w:rPr>
      </w:pPr>
      <w:r>
        <w:rPr>
          <w:rFonts w:hint="eastAsia" w:ascii="仿宋_GB2312" w:hAnsi="仿宋_GB2312" w:eastAsia="仿宋_GB2312"/>
          <w:color w:val="000000"/>
          <w:spacing w:val="4"/>
          <w:sz w:val="30"/>
        </w:rPr>
        <w:t>境外机构可</w:t>
      </w:r>
      <w:r>
        <w:rPr>
          <w:rFonts w:hint="eastAsia" w:ascii="仿宋_GB2312" w:hAnsi="仿宋_GB2312" w:eastAsia="仿宋_GB2312"/>
          <w:color w:val="000000"/>
          <w:spacing w:val="4"/>
          <w:sz w:val="30"/>
          <w:lang w:eastAsia="zh-CN"/>
        </w:rPr>
        <w:t>投资品种及投资范围与现行规定保持一致。已入市的境外机构可开展现券交易，并可基于套期保值需求开展债券借贷、债券远期、远期利率协议、利率互换等交易。</w:t>
      </w:r>
    </w:p>
    <w:p>
      <w:pPr>
        <w:adjustRightInd w:val="0"/>
        <w:snapToGrid w:val="0"/>
        <w:spacing w:line="560" w:lineRule="exact"/>
        <w:ind w:firstLine="618" w:firstLineChars="200"/>
        <w:rPr>
          <w:rFonts w:hint="eastAsia" w:ascii="楷体" w:hAnsi="楷体" w:eastAsia="楷体"/>
          <w:b/>
          <w:color w:val="000000"/>
          <w:spacing w:val="4"/>
          <w:sz w:val="30"/>
        </w:rPr>
      </w:pPr>
      <w:r>
        <w:rPr>
          <w:rFonts w:hint="eastAsia" w:ascii="楷体" w:hAnsi="楷体" w:eastAsia="楷体"/>
          <w:b/>
          <w:color w:val="000000"/>
          <w:spacing w:val="4"/>
          <w:sz w:val="30"/>
        </w:rPr>
        <w:t>（三）关于托管结算安排。</w:t>
      </w:r>
    </w:p>
    <w:p>
      <w:pPr>
        <w:adjustRightInd w:val="0"/>
        <w:snapToGrid w:val="0"/>
        <w:spacing w:line="560" w:lineRule="exact"/>
        <w:ind w:firstLine="616" w:firstLineChars="200"/>
        <w:rPr>
          <w:rFonts w:hint="eastAsia" w:ascii="仿宋_GB2312" w:hAnsi="仿宋_GB2312" w:eastAsia="仿宋_GB2312"/>
          <w:color w:val="000000"/>
          <w:spacing w:val="4"/>
          <w:sz w:val="30"/>
        </w:rPr>
      </w:pPr>
      <w:r>
        <w:rPr>
          <w:rFonts w:hint="eastAsia" w:ascii="仿宋_GB2312" w:hAnsi="仿宋_GB2312" w:eastAsia="仿宋_GB2312"/>
          <w:color w:val="000000"/>
          <w:spacing w:val="4"/>
          <w:sz w:val="30"/>
        </w:rPr>
        <w:t>《公告》明确投资银行间债券市场的境外机构可直接或通过境外托管银行委托符合条件的境内托管银行进行资产托管。境内托管银行</w:t>
      </w:r>
      <w:r>
        <w:rPr>
          <w:rFonts w:hint="eastAsia" w:ascii="仿宋_GB2312" w:hAnsi="仿宋_GB2312" w:eastAsia="仿宋_GB2312"/>
          <w:color w:val="000000"/>
          <w:spacing w:val="4"/>
          <w:sz w:val="30"/>
          <w:lang w:eastAsia="zh-CN"/>
        </w:rPr>
        <w:t>负责</w:t>
      </w:r>
      <w:r>
        <w:rPr>
          <w:rFonts w:hint="eastAsia" w:ascii="仿宋_GB2312" w:hAnsi="仿宋_GB2312" w:eastAsia="仿宋_GB2312"/>
          <w:color w:val="000000"/>
          <w:spacing w:val="4"/>
          <w:sz w:val="30"/>
        </w:rPr>
        <w:t>对所托管的财产与其固有财产严格分开保管，严格履行实质性独立托管职责。</w:t>
      </w:r>
      <w:r>
        <w:rPr>
          <w:rFonts w:hint="eastAsia" w:ascii="仿宋_GB2312" w:hAnsi="仿宋_GB2312" w:eastAsia="仿宋_GB2312"/>
          <w:color w:val="000000"/>
          <w:spacing w:val="4"/>
          <w:sz w:val="30"/>
          <w:lang w:eastAsia="zh-CN"/>
        </w:rPr>
        <w:t>这一安排将与结算代理模式并行，境外机构可自行选择到境内金融基础设施或通过托管银行开立债券账户。</w:t>
      </w:r>
    </w:p>
    <w:p>
      <w:pPr>
        <w:adjustRightInd w:val="0"/>
        <w:snapToGrid w:val="0"/>
        <w:spacing w:line="560" w:lineRule="exact"/>
        <w:ind w:firstLine="618" w:firstLineChars="200"/>
        <w:rPr>
          <w:rFonts w:hint="eastAsia" w:ascii="楷体" w:hAnsi="楷体" w:eastAsia="楷体"/>
          <w:b/>
          <w:color w:val="000000"/>
          <w:spacing w:val="4"/>
          <w:sz w:val="30"/>
        </w:rPr>
      </w:pPr>
      <w:r>
        <w:rPr>
          <w:rFonts w:hint="eastAsia" w:ascii="楷体" w:hAnsi="楷体" w:eastAsia="楷体"/>
          <w:b/>
          <w:color w:val="000000"/>
          <w:spacing w:val="4"/>
          <w:sz w:val="30"/>
        </w:rPr>
        <w:t>（四）关于数据报送与交易报告库要求。</w:t>
      </w:r>
    </w:p>
    <w:p>
      <w:pPr>
        <w:adjustRightInd w:val="0"/>
        <w:snapToGrid w:val="0"/>
        <w:spacing w:line="560" w:lineRule="exact"/>
        <w:ind w:firstLine="616" w:firstLineChars="200"/>
        <w:rPr>
          <w:rFonts w:hint="eastAsia" w:ascii="仿宋_GB2312" w:hAnsi="仿宋_GB2312" w:eastAsia="仿宋_GB2312"/>
          <w:color w:val="000000"/>
          <w:spacing w:val="4"/>
          <w:sz w:val="30"/>
        </w:rPr>
      </w:pPr>
      <w:r>
        <w:rPr>
          <w:rFonts w:hint="eastAsia" w:ascii="仿宋_GB2312" w:hAnsi="仿宋_GB2312" w:eastAsia="仿宋_GB2312"/>
          <w:color w:val="000000"/>
          <w:spacing w:val="4"/>
          <w:sz w:val="30"/>
        </w:rPr>
        <w:t>《公告》对</w:t>
      </w:r>
      <w:r>
        <w:rPr>
          <w:rFonts w:hint="eastAsia" w:ascii="仿宋_GB2312" w:hAnsi="仿宋_GB2312" w:eastAsia="仿宋_GB2312"/>
          <w:color w:val="000000"/>
          <w:spacing w:val="4"/>
          <w:sz w:val="30"/>
          <w:lang w:eastAsia="zh-CN"/>
        </w:rPr>
        <w:t>各类金融</w:t>
      </w:r>
      <w:r>
        <w:rPr>
          <w:rFonts w:hint="eastAsia" w:ascii="仿宋_GB2312" w:hAnsi="仿宋_GB2312" w:eastAsia="仿宋_GB2312"/>
          <w:color w:val="000000"/>
          <w:spacing w:val="4"/>
          <w:sz w:val="30"/>
        </w:rPr>
        <w:t>基础设施及托管银行涉及债券市场登记、交易、托管、结算的数据报送要求进行明确</w:t>
      </w:r>
      <w:r>
        <w:rPr>
          <w:rFonts w:hint="eastAsia" w:ascii="仿宋_GB2312" w:hAnsi="仿宋_GB2312" w:eastAsia="仿宋_GB2312"/>
          <w:color w:val="000000"/>
          <w:spacing w:val="4"/>
          <w:sz w:val="30"/>
          <w:lang w:eastAsia="zh-CN"/>
        </w:rPr>
        <w:t>。</w:t>
      </w:r>
      <w:r>
        <w:rPr>
          <w:rFonts w:hint="eastAsia" w:ascii="仿宋_GB2312" w:hAnsi="仿宋_GB2312" w:eastAsia="仿宋_GB2312"/>
          <w:color w:val="000000"/>
          <w:spacing w:val="4"/>
          <w:sz w:val="30"/>
        </w:rPr>
        <w:t>通过境内托管银行进行债券投资的，境内外托管银行应按时逐级上报境外机构投资者信息和托管结算数据。人民银行上海总部汇总相关信息，并按月向人民银行、</w:t>
      </w:r>
      <w:r>
        <w:rPr>
          <w:rFonts w:hint="eastAsia" w:ascii="仿宋_GB2312" w:hAnsi="仿宋_GB2312" w:eastAsia="仿宋_GB2312"/>
          <w:color w:val="000000"/>
          <w:spacing w:val="4"/>
          <w:sz w:val="30"/>
          <w:lang w:eastAsia="zh-CN"/>
        </w:rPr>
        <w:t>证</w:t>
      </w:r>
      <w:r>
        <w:rPr>
          <w:rFonts w:hint="eastAsia" w:ascii="仿宋_GB2312" w:hAnsi="仿宋_GB2312" w:eastAsia="仿宋_GB2312"/>
          <w:color w:val="000000"/>
          <w:spacing w:val="4"/>
          <w:sz w:val="30"/>
        </w:rPr>
        <w:t>监会及</w:t>
      </w:r>
      <w:r>
        <w:rPr>
          <w:rFonts w:hint="eastAsia" w:ascii="仿宋_GB2312" w:hAnsi="仿宋_GB2312" w:eastAsia="仿宋_GB2312"/>
          <w:color w:val="000000"/>
          <w:spacing w:val="4"/>
          <w:sz w:val="30"/>
          <w:lang w:eastAsia="zh-CN"/>
        </w:rPr>
        <w:t>外汇局</w:t>
      </w:r>
      <w:r>
        <w:rPr>
          <w:rFonts w:hint="eastAsia" w:ascii="仿宋_GB2312" w:hAnsi="仿宋_GB2312" w:eastAsia="仿宋_GB2312"/>
          <w:color w:val="000000"/>
          <w:spacing w:val="4"/>
          <w:sz w:val="30"/>
        </w:rPr>
        <w:t>报送境外投资者准入、投资展业及运行风险等相关情况。</w:t>
      </w:r>
    </w:p>
    <w:p>
      <w:pPr>
        <w:numPr>
          <w:ilvl w:val="0"/>
          <w:numId w:val="1"/>
          <w:numberingChange w:id="0" w:author="pbc" w:date="2020-06-28T15:37:00Z" w:original="（%1:5:37:）"/>
        </w:numPr>
        <w:adjustRightInd w:val="0"/>
        <w:snapToGrid w:val="0"/>
        <w:spacing w:line="560" w:lineRule="exact"/>
        <w:ind w:firstLine="618" w:firstLineChars="200"/>
        <w:rPr>
          <w:rFonts w:hint="eastAsia" w:ascii="楷体" w:hAnsi="楷体" w:eastAsia="楷体"/>
          <w:b/>
          <w:color w:val="000000"/>
          <w:spacing w:val="4"/>
          <w:sz w:val="30"/>
          <w:lang w:eastAsia="zh-CN"/>
        </w:rPr>
      </w:pPr>
      <w:r>
        <w:rPr>
          <w:rFonts w:hint="eastAsia" w:ascii="楷体" w:hAnsi="楷体" w:eastAsia="楷体"/>
          <w:b/>
          <w:color w:val="000000"/>
          <w:spacing w:val="4"/>
          <w:sz w:val="30"/>
          <w:lang w:eastAsia="zh-CN"/>
        </w:rPr>
        <w:t>关于具体实施细则。</w:t>
      </w:r>
    </w:p>
    <w:p>
      <w:pPr>
        <w:adjustRightInd w:val="0"/>
        <w:snapToGrid w:val="0"/>
        <w:spacing w:line="560" w:lineRule="exact"/>
        <w:ind w:firstLine="616" w:firstLineChars="200"/>
        <w:rPr>
          <w:rFonts w:hint="eastAsia" w:ascii="仿宋_GB2312" w:hAnsi="仿宋_GB2312" w:eastAsia="仿宋_GB2312"/>
          <w:color w:val="000000"/>
          <w:spacing w:val="4"/>
          <w:sz w:val="30"/>
          <w:lang w:eastAsia="zh-CN"/>
        </w:rPr>
      </w:pPr>
      <w:r>
        <w:rPr>
          <w:rFonts w:hint="eastAsia" w:ascii="仿宋_GB2312" w:hAnsi="仿宋_GB2312" w:eastAsia="仿宋_GB2312"/>
          <w:color w:val="000000"/>
          <w:spacing w:val="4"/>
          <w:sz w:val="30"/>
          <w:lang w:eastAsia="zh-CN"/>
        </w:rPr>
        <w:t>人民银行</w:t>
      </w:r>
      <w:r>
        <w:rPr>
          <w:rFonts w:hint="eastAsia" w:ascii="仿宋_GB2312" w:hAnsi="仿宋_GB2312" w:eastAsia="仿宋_GB2312"/>
          <w:color w:val="000000"/>
          <w:spacing w:val="4"/>
          <w:sz w:val="30"/>
        </w:rPr>
        <w:t>上海总部及相关金融基础设施将根据《公告》制定实施细则，明确入市</w:t>
      </w:r>
      <w:r>
        <w:rPr>
          <w:rFonts w:hint="eastAsia" w:ascii="仿宋_GB2312" w:hAnsi="仿宋_GB2312" w:eastAsia="仿宋_GB2312"/>
          <w:color w:val="000000"/>
          <w:spacing w:val="4"/>
          <w:sz w:val="30"/>
          <w:lang w:eastAsia="zh-CN"/>
        </w:rPr>
        <w:t>申请</w:t>
      </w:r>
      <w:r>
        <w:rPr>
          <w:rFonts w:hint="eastAsia" w:ascii="仿宋_GB2312" w:hAnsi="仿宋_GB2312" w:eastAsia="仿宋_GB2312"/>
          <w:color w:val="000000"/>
          <w:spacing w:val="4"/>
          <w:sz w:val="30"/>
        </w:rPr>
        <w:t>材料要求（含取消结算代理协议）、取消交易代理安排、</w:t>
      </w:r>
      <w:r>
        <w:rPr>
          <w:rFonts w:hint="eastAsia" w:ascii="仿宋_GB2312" w:hAnsi="仿宋_GB2312" w:eastAsia="仿宋_GB2312"/>
          <w:color w:val="000000"/>
          <w:spacing w:val="4"/>
          <w:sz w:val="30"/>
          <w:lang w:eastAsia="zh-CN"/>
        </w:rPr>
        <w:t>明确</w:t>
      </w:r>
      <w:r>
        <w:rPr>
          <w:rFonts w:hint="eastAsia" w:ascii="仿宋_GB2312" w:hAnsi="仿宋_GB2312" w:eastAsia="仿宋_GB2312"/>
          <w:color w:val="000000"/>
          <w:spacing w:val="4"/>
          <w:sz w:val="30"/>
        </w:rPr>
        <w:t>交易报告制度等有关要求，以及债券双向非交易过户等相关事项的具体操作规则，并报相关金融监管部门后对外发布。</w:t>
      </w:r>
    </w:p>
    <w:sectPr>
      <w:footerReference r:id="rId3" w:type="default"/>
      <w:footerReference r:id="rId4" w:type="even"/>
      <w:endnotePr>
        <w:numFmt w:val="decimal"/>
      </w:endnotePr>
      <w:pgSz w:w="11906" w:h="16838"/>
      <w:pgMar w:top="1701" w:right="1587" w:bottom="1587" w:left="1587"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pBdr>
        <w:between w:val="none" w:color="auto" w:sz="50" w:space="0"/>
      </w:pBdr>
    </w:pPr>
    <w:r>
      <w:fldChar w:fldCharType="begin"/>
    </w:r>
    <w:r>
      <w:rPr>
        <w:rStyle w:val="7"/>
      </w:rPr>
      <w:instrText xml:space="preserve"> PAGE  </w:instrText>
    </w:r>
    <w:r>
      <w:fldChar w:fldCharType="separate"/>
    </w:r>
    <w:r>
      <w:rPr>
        <w:rStyle w:val="7"/>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pBdr>
        <w:between w:val="none" w:color="auto" w:sz="50" w:space="0"/>
      </w:pBdr>
    </w:pPr>
    <w:r>
      <w:fldChar w:fldCharType="begin"/>
    </w:r>
    <w:r>
      <w:rPr>
        <w:rStyle w:val="7"/>
      </w:rPr>
      <w:instrText xml:space="preserve"> PAGE  </w:instrText>
    </w:r>
    <w:r>
      <w:fldChar w:fldCharType="separate"/>
    </w:r>
    <w:r>
      <w:rPr>
        <w:rStyle w:val="7"/>
      </w:rPr>
      <w:t>2</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5"/>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bc">
    <w15:presenceInfo w15:providerId="None" w15:userId="p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evenAndOddHeaders w:val="1"/>
  <w:drawingGridVerticalSpacing w:val="156"/>
  <w:displayHorizontalDrawingGridEvery w:val="0"/>
  <w:displayVerticalDrawingGridEvery w:val="2"/>
  <w:doNotShadeFormData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2FC31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lang w:val="en-US" w:eastAsia="zh-CN" w:bidi="ar-SA"/>
    </w:rPr>
  </w:style>
  <w:style w:type="character" w:default="1" w:styleId="6">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link w:val="10"/>
    <w:uiPriority w:val="0"/>
    <w:pPr>
      <w:spacing w:line="560" w:lineRule="exact"/>
      <w:ind w:firstLine="600" w:firstLineChars="200"/>
    </w:pPr>
    <w:rPr>
      <w:rFonts w:hint="default" w:ascii="Times New Roman" w:eastAsia="仿宋_GB2312"/>
      <w:kern w:val="2"/>
      <w:sz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uiPriority w:val="0"/>
  </w:style>
  <w:style w:type="character" w:styleId="8">
    <w:name w:val="Hyperlink"/>
    <w:basedOn w:val="6"/>
    <w:uiPriority w:val="0"/>
    <w:rPr>
      <w:rFonts w:hint="default" w:ascii="Times New Roman"/>
      <w:color w:val="0000FF"/>
      <w:u w:val="single"/>
    </w:rPr>
  </w:style>
  <w:style w:type="paragraph" w:customStyle="1" w:styleId="9">
    <w:name w:val="p0"/>
    <w:basedOn w:val="1"/>
    <w:uiPriority w:val="0"/>
    <w:pPr>
      <w:widowControl/>
    </w:pPr>
    <w:rPr>
      <w:rFonts w:hint="eastAsia" w:ascii="仿宋_GB2312" w:hAnsi="宋体" w:eastAsia="仿宋_GB2312"/>
      <w:spacing w:val="3"/>
      <w:sz w:val="30"/>
    </w:rPr>
  </w:style>
  <w:style w:type="character" w:customStyle="1" w:styleId="10">
    <w:name w:val="正文文本缩进 Char"/>
    <w:basedOn w:val="6"/>
    <w:link w:val="2"/>
    <w:uiPriority w:val="0"/>
    <w:rPr>
      <w:rFonts w:hint="default" w:ascii="Times New Roman" w:eastAsia="仿宋_GB2312"/>
      <w:kern w:val="2"/>
      <w:sz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361;&#38596;&#38596;\pbc200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pbc2005</Template>
  <Company>PBC</Company>
  <Pages>3</Pages>
  <Words>257</Words>
  <Characters>1471</Characters>
  <Lines>12</Lines>
  <Paragraphs>3</Paragraphs>
  <TotalTime>0</TotalTime>
  <ScaleCrop>false</ScaleCrop>
  <LinksUpToDate>false</LinksUpToDate>
  <CharactersWithSpaces>1725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1900-01-02T13:08:00Z</dcterms:created>
  <dc:creator>包晓川</dc:creator>
  <cp:lastModifiedBy>港岛妹夫</cp:lastModifiedBy>
  <cp:lastPrinted>2020-03-25T08:27:00Z</cp:lastPrinted>
  <dcterms:modified xsi:type="dcterms:W3CDTF">2020-09-03T01:20:18Z</dcterms:modified>
  <dc:title>    </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