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sz w:val="44"/>
          <w:szCs w:val="44"/>
        </w:rPr>
      </w:pPr>
    </w:p>
    <w:p>
      <w:pPr>
        <w:spacing w:line="600" w:lineRule="exact"/>
        <w:jc w:val="center"/>
        <w:rPr>
          <w:rFonts w:ascii="宋体" w:hAnsi="宋体"/>
          <w:b/>
          <w:sz w:val="44"/>
          <w:szCs w:val="44"/>
        </w:rPr>
      </w:pPr>
    </w:p>
    <w:p>
      <w:pPr>
        <w:spacing w:line="600" w:lineRule="exact"/>
        <w:jc w:val="center"/>
        <w:rPr>
          <w:rFonts w:ascii="宋体" w:hAnsi="宋体"/>
          <w:b/>
          <w:sz w:val="44"/>
          <w:szCs w:val="44"/>
        </w:rPr>
      </w:pPr>
      <w:bookmarkStart w:id="0" w:name="_GoBack"/>
      <w:r>
        <w:rPr>
          <w:rFonts w:hint="eastAsia" w:ascii="宋体" w:hAnsi="宋体"/>
          <w:b/>
          <w:sz w:val="44"/>
          <w:szCs w:val="44"/>
        </w:rPr>
        <w:t>中国银行业协会专职副会长潘光伟</w:t>
      </w:r>
    </w:p>
    <w:p>
      <w:pPr>
        <w:spacing w:line="600" w:lineRule="exact"/>
        <w:jc w:val="center"/>
        <w:rPr>
          <w:rFonts w:ascii="宋体" w:hAnsi="宋体"/>
          <w:b/>
          <w:sz w:val="44"/>
          <w:szCs w:val="44"/>
        </w:rPr>
      </w:pPr>
      <w:r>
        <w:rPr>
          <w:rFonts w:hint="eastAsia" w:ascii="宋体" w:hAnsi="宋体"/>
          <w:b/>
          <w:sz w:val="44"/>
          <w:szCs w:val="44"/>
        </w:rPr>
        <w:t>在2020年“全面风险管理与数据治理</w:t>
      </w:r>
    </w:p>
    <w:p>
      <w:pPr>
        <w:spacing w:line="600" w:lineRule="exact"/>
        <w:jc w:val="center"/>
        <w:rPr>
          <w:rFonts w:ascii="宋体" w:hAnsi="宋体"/>
          <w:b/>
          <w:sz w:val="44"/>
          <w:szCs w:val="44"/>
        </w:rPr>
      </w:pPr>
      <w:r>
        <w:rPr>
          <w:rFonts w:ascii="宋体" w:hAnsi="宋体"/>
          <w:b/>
          <w:sz w:val="44"/>
          <w:szCs w:val="44"/>
        </w:rPr>
        <w:t>支持银行战略转型高级研修班”</w:t>
      </w:r>
    </w:p>
    <w:p>
      <w:pPr>
        <w:spacing w:line="600" w:lineRule="exact"/>
        <w:jc w:val="center"/>
        <w:rPr>
          <w:rFonts w:ascii="宋体" w:hAnsi="宋体"/>
          <w:b/>
          <w:sz w:val="44"/>
          <w:szCs w:val="44"/>
        </w:rPr>
      </w:pPr>
      <w:r>
        <w:rPr>
          <w:rFonts w:ascii="宋体" w:hAnsi="宋体"/>
          <w:b/>
          <w:sz w:val="44"/>
          <w:szCs w:val="44"/>
        </w:rPr>
        <w:t>开班仪式上的讲话</w:t>
      </w:r>
    </w:p>
    <w:bookmarkEnd w:id="0"/>
    <w:p>
      <w:pPr>
        <w:pStyle w:val="2"/>
        <w:widowControl/>
        <w:shd w:val="clear" w:color="auto" w:fill="FFFFFF"/>
        <w:spacing w:line="600" w:lineRule="exact"/>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（8月25日上午 北京）</w:t>
      </w:r>
    </w:p>
    <w:p>
      <w:pPr>
        <w:pStyle w:val="2"/>
        <w:widowControl/>
        <w:shd w:val="clear" w:color="auto" w:fill="FFFFFF"/>
        <w:spacing w:line="600" w:lineRule="exact"/>
        <w:jc w:val="center"/>
        <w:rPr>
          <w:rFonts w:ascii="仿宋_GB2312" w:hAnsi="仿宋_GB2312" w:eastAsia="仿宋_GB2312" w:cs="仿宋_GB2312"/>
          <w:sz w:val="36"/>
          <w:szCs w:val="36"/>
        </w:rPr>
      </w:pPr>
    </w:p>
    <w:p>
      <w:pPr>
        <w:pStyle w:val="2"/>
        <w:widowControl/>
        <w:shd w:val="clear" w:color="auto" w:fill="FFFFFF"/>
        <w:spacing w:line="600" w:lineRule="exact"/>
        <w:rPr>
          <w:rFonts w:ascii="仿宋_GB2312" w:hAnsi="仿宋_GB2312" w:eastAsia="仿宋_GB2312" w:cs="仿宋_GB2312"/>
          <w:b/>
          <w:bCs/>
          <w:sz w:val="36"/>
          <w:szCs w:val="36"/>
        </w:rPr>
      </w:pPr>
      <w:r>
        <w:rPr>
          <w:rFonts w:hint="eastAsia" w:ascii="仿宋_GB2312" w:hAnsi="仿宋_GB2312" w:eastAsia="仿宋_GB2312" w:cs="仿宋_GB2312"/>
          <w:b/>
          <w:bCs/>
          <w:sz w:val="36"/>
          <w:szCs w:val="36"/>
          <w:shd w:val="clear" w:color="auto" w:fill="FFFFFF"/>
        </w:rPr>
        <w:t>尊敬的志清副主任、长一专家、各位学员：</w:t>
      </w:r>
    </w:p>
    <w:p>
      <w:pPr>
        <w:pStyle w:val="2"/>
        <w:widowControl/>
        <w:shd w:val="clear" w:color="auto" w:fill="FFFFFF"/>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shd w:val="clear" w:color="auto" w:fill="FFFFFF"/>
        </w:rPr>
        <w:t>大家上午好！很高兴能通过在线平台，与大家</w:t>
      </w:r>
      <w:r>
        <w:rPr>
          <w:rFonts w:hint="eastAsia" w:ascii="仿宋_GB2312" w:hAnsi="仿宋_GB2312" w:eastAsia="仿宋_GB2312" w:cs="仿宋_GB2312"/>
          <w:sz w:val="36"/>
          <w:szCs w:val="36"/>
        </w:rPr>
        <w:t>共济一堂，探讨与关注“全面风险管理与数据治理支持银行战略转型”这一主题。首先，我谨代表中国银行业协会，对银保监会统信部刘志清副主任、协会风险管理专家组赵长一专家，以及中国工商银行风险管理部刘瑞霞总经理等领导和专家对本次研修班的支持表示衷心的感谢!对参训的各位学员表示热烈的欢迎！</w:t>
      </w:r>
    </w:p>
    <w:p>
      <w:pPr>
        <w:pStyle w:val="2"/>
        <w:widowControl/>
        <w:shd w:val="clear" w:color="auto" w:fill="FFFFFF"/>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我们今天探讨的全面风险管理与数据治理支持银行战略转型这一主题非常有意义。</w:t>
      </w:r>
      <w:r>
        <w:rPr>
          <w:rFonts w:hint="eastAsia" w:ascii="仿宋_GB2312" w:hAnsi="仿宋_GB2312" w:eastAsia="仿宋_GB2312" w:cs="仿宋_GB2312"/>
          <w:sz w:val="36"/>
          <w:szCs w:val="36"/>
          <w:shd w:val="clear" w:color="auto" w:fill="FFFFFF"/>
        </w:rPr>
        <w:t>大家知道，数据作为一种新型生产要素，已成为银行未来致胜的核心“资产”和竞争力，是银行数字化转型的助推剂。拥抱金融科技，实施数字化转型，已成为上市银行为代表的我国银行业金融机构的共同战略选择。2019年，我国银行业金融机构不断加大科技投入力度，大中型上市银行平均科技人员占比提升至4%以上，平均科技投入资金占营业收入比例约为2%。在基础平台建设、数字化零售金融、数字化公司金融、数字化同业业务等方面取得长足进展。</w:t>
      </w:r>
    </w:p>
    <w:p>
      <w:pPr>
        <w:pStyle w:val="2"/>
        <w:widowControl/>
        <w:shd w:val="clear" w:color="auto" w:fill="FFFFFF"/>
        <w:spacing w:line="600" w:lineRule="exact"/>
        <w:ind w:firstLine="720" w:firstLineChars="200"/>
        <w:jc w:val="both"/>
        <w:rPr>
          <w:rFonts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另一方面，银行业全面风险管理和数据治理也是一项覆盖范围广且长期复杂的系统性工程。不断提升全面风险管理和数据治理能力，支持数字化转型和业务可持续发展，已成为监管部门高度关注的，关乎银行业金融机构自身发展方向和质量的重点工作。</w:t>
      </w:r>
    </w:p>
    <w:p>
      <w:pPr>
        <w:pStyle w:val="2"/>
        <w:widowControl/>
        <w:shd w:val="clear" w:color="auto" w:fill="FFFFFF"/>
        <w:spacing w:line="600" w:lineRule="exact"/>
        <w:ind w:firstLine="720" w:firstLineChars="200"/>
        <w:jc w:val="both"/>
        <w:rPr>
          <w:rFonts w:ascii="仿宋_GB2312" w:hAnsi="仿宋_GB2312" w:eastAsia="仿宋_GB2312" w:cs="仿宋_GB2312"/>
          <w:color w:val="000000"/>
          <w:sz w:val="36"/>
          <w:szCs w:val="36"/>
        </w:rPr>
      </w:pPr>
      <w:r>
        <w:rPr>
          <w:rFonts w:hint="eastAsia" w:ascii="仿宋_GB2312" w:hAnsi="仿宋_GB2312" w:eastAsia="仿宋_GB2312" w:cs="仿宋_GB2312"/>
          <w:sz w:val="36"/>
          <w:szCs w:val="36"/>
          <w:shd w:val="clear" w:color="auto" w:fill="FFFFFF"/>
        </w:rPr>
        <w:t>下面，我抛砖引玉，与大家分享这三点看法，供大家参考。</w:t>
      </w:r>
    </w:p>
    <w:p>
      <w:pPr>
        <w:pStyle w:val="2"/>
        <w:widowControl/>
        <w:shd w:val="clear" w:color="auto" w:fill="FFFFFF"/>
        <w:spacing w:line="600" w:lineRule="exact"/>
        <w:ind w:firstLine="720" w:firstLineChars="200"/>
        <w:jc w:val="both"/>
        <w:rPr>
          <w:rFonts w:ascii="仿宋_GB2312" w:hAnsi="仿宋_GB2312" w:eastAsia="仿宋_GB2312" w:cs="仿宋_GB2312"/>
          <w:color w:val="000000"/>
          <w:sz w:val="36"/>
          <w:szCs w:val="36"/>
        </w:rPr>
      </w:pPr>
      <w:r>
        <w:rPr>
          <w:rStyle w:val="5"/>
          <w:rFonts w:hint="eastAsia" w:ascii="黑体" w:hAnsi="黑体" w:eastAsia="黑体" w:cs="黑体"/>
          <w:b w:val="0"/>
          <w:bCs/>
          <w:sz w:val="36"/>
          <w:szCs w:val="36"/>
        </w:rPr>
        <w:t>一、夯实数据治理之基，构筑良好的银行业数字化生态</w:t>
      </w:r>
    </w:p>
    <w:p>
      <w:pPr>
        <w:pStyle w:val="2"/>
        <w:widowControl/>
        <w:spacing w:line="600" w:lineRule="exact"/>
        <w:ind w:firstLine="720" w:firstLineChars="200"/>
        <w:jc w:val="both"/>
        <w:rPr>
          <w:rFonts w:ascii="仿宋_GB2312" w:hAnsi="仿宋_GB2312" w:eastAsia="仿宋_GB2312" w:cs="仿宋_GB2312"/>
          <w:b/>
          <w:bCs/>
          <w:sz w:val="36"/>
          <w:szCs w:val="36"/>
        </w:rPr>
      </w:pPr>
      <w:r>
        <w:rPr>
          <w:rFonts w:hint="eastAsia" w:ascii="仿宋_GB2312" w:hAnsi="仿宋_GB2312" w:eastAsia="仿宋_GB2312" w:cs="仿宋_GB2312"/>
          <w:sz w:val="36"/>
          <w:szCs w:val="36"/>
        </w:rPr>
        <w:t>数据是新的“石油”，是本世纪最为珍贵的财产。习近平总书记曾指出：“大数据是工业社会的‘自由’资源，谁掌握了数据，谁就掌握了主动权。”大数据正在改变着各国综合国力，重塑未来国际竞争的战略格局。党的十九届四中全会提出推进国家治理体系和治理能力现代化，要求必须加强和创新社会治理，完善包括科技支撑在内的社会治理体系。大数据是信息化发展的新阶段，随着信息技术和人类生产生活的交汇融合，全球数据呈现爆发增长、海量集聚的特点，这对经济发展、社会治理、国家管理、人民生活产生了重大而深远的影响。数据治理也将成为提升社会治理能力的重要抓手和关键一环。2018年，国务院印发了《促进大数据发展行动纲要》，明确提出推动大数据发展和应用，系统部署了我国大数据发展和应用工作。在智能化、数字化大潮下，只有对大数据进行有效的、高质量的治理，才能将数据“原油”转变为有价值有质量的数据“石油”，从而更好地释放数据价值，改进决策、缩减成本、降低风险，助力银行业数字化转型，助推高质量发展。</w:t>
      </w:r>
      <w:r>
        <w:rPr>
          <w:rFonts w:hint="eastAsia" w:ascii="仿宋_GB2312" w:hAnsi="仿宋_GB2312" w:eastAsia="仿宋_GB2312" w:cs="仿宋_GB2312"/>
          <w:b/>
          <w:bCs/>
          <w:sz w:val="36"/>
          <w:szCs w:val="36"/>
        </w:rPr>
        <w:t>其重要性体现在以下三个方面。</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（一）数据治理构建开放的金融新生态</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在以数字经济为代表的第四次工业革命浪潮中，中国抓住了先机，率先步入了数字化、智能化时代。银行业通过数据标准、数据管理，数据开放、数据共享等，催生开放银行、场景金融等数字化服务新业态，与社会各行各业共同构筑起金融新生态。</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科技与金融的深度融合，重塑了银行业生态和竞争格局，是银行业实现高质量发展的重要抓手。特别是在疫情期间，金融科技的赋能效应更加凸显。主要体现在三个方面：一是监管部门高度重视运用金融科技助力疫情防控。2月1日，中国人民银行、银保监会等五部门联合提出“金融机构要加强全国范围特别是疫情严重地区的线上服务，引导企业和居民通过互联网、手机APP等线上方式办理金融业务”。1月27日，中国银行业协会就向全体会员发布《以优质快捷高效的金融服务助力疫情防控倡议书》，其中第14条倡议广大会员单位“充分运用线上线下服务手段，广泛宣传和倡导客户运用手机银行、电子银行等离柜服务”。二是金融科技赋能线上业务，提升线上金融服务质效。针对广大客户足不出户办理各项金融业务的需求，银行业金融机构在全国范围特别是疫情严重地区，加大线上服务力度，确保手机银行、网上银行、直销银行、远程银行、小程序等非接触金融服务顺畅，提升服务便利性和可得性。根据中银协对国有大型商业银行及股份制商业银行的最新统计，2020年上半年客服中心与远程银行自助语音客户满意度超过99%。三是深化“百行进万企”活动，金融科技在服务民营和小微企业中发挥了重要作用。中银协会同全国工商联、浙江网商银行发起“无接触贷款助微计划”，获得了100多家银行业金融机构的积极响应并共同参与。不同机构各施所长，运用长期积累的海量客户数据信息和信用风险防控技术，引入淘宝商城、本地生活等多个平台及场景，精准地匹配了小微客户“短小频急散”的资金需求特点，进一步延伸了传统银行服务的触角，提升了首贷和不能触及的长尾客户信用贷款两个占比。截至8月24日中午12点，银行业金融机构参与“无接触贷款助微计划”服务客户数1915.56万户，贷款累计发放7934.75亿元，贷款余额2082.60亿元。</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（二）数据已成为银行业未来致胜的核心“资产”和竞争力</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银行业属于典型的数据驱动行业，经过多年的积累，银行业金融机构积累了大量的客户数据、交易数据、外部数据，等等，具备数字化转型的先天优势，通过提高数据的管理与治理能力、强化数据资产理念、构建数字化经营能力，盘活数据所具有巨大的潜在价值，对于银行业助力深化供给侧结构性改革，加快转型步伐，提高银行经营质效，增强市场竞争力具有重要意义。</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（三）数据治理是银行业高质量发展的必由之路</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新形势下，数据治理不断提升银行经营管理和服务能力，一方面，通过加强数据应用和数据分析，为经营管理、业务决策、客户营销、风险管理、内控合规和精细化管理提供技术保障。另一方面，围绕“以客户为中心”，以数字化手段敏捷响应、快速迭代，使银行的业务流程、产品开发和服务体验更加契合市场需求和客户需求，增强客户体验，为银行业战略目标实现和改革创新落地提供强力支撑。</w:t>
      </w:r>
    </w:p>
    <w:p>
      <w:pPr>
        <w:pStyle w:val="2"/>
        <w:widowControl/>
        <w:spacing w:line="600" w:lineRule="exact"/>
        <w:ind w:firstLine="720" w:firstLineChars="200"/>
        <w:jc w:val="both"/>
        <w:rPr>
          <w:rFonts w:ascii="仿宋_GB2312" w:hAnsi="仿宋_GB2312" w:eastAsia="仿宋_GB2312" w:cs="仿宋_GB2312"/>
          <w:b/>
          <w:bCs/>
          <w:sz w:val="36"/>
          <w:szCs w:val="36"/>
        </w:rPr>
      </w:pPr>
      <w:r>
        <w:rPr>
          <w:rFonts w:hint="eastAsia" w:ascii="仿宋_GB2312" w:hAnsi="仿宋_GB2312" w:eastAsia="仿宋_GB2312" w:cs="仿宋_GB2312"/>
          <w:sz w:val="36"/>
          <w:szCs w:val="36"/>
        </w:rPr>
        <w:t>然而，打破传统，颠覆模式，重构新局从来都不是一蹴而就的，在向着数字化快速转型的同时</w:t>
      </w:r>
      <w:r>
        <w:rPr>
          <w:rFonts w:hint="eastAsia" w:ascii="仿宋_GB2312" w:hAnsi="仿宋_GB2312" w:eastAsia="仿宋_GB2312" w:cs="仿宋_GB2312"/>
          <w:b/>
          <w:bCs/>
          <w:sz w:val="36"/>
          <w:szCs w:val="36"/>
        </w:rPr>
        <w:t>，当前银行业数据治理还面临着四方面的挑战和不足：</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（一）数据整合度不高</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银行内部数据虽多，涉及各个业务条线、各个部门，但未经系统化的治理，数据分布零散化，搜集整合存在错配，未能实现大数据集中化管理，也缺乏对数据全口径和全生命周期性的管理。</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（二）数据标准度不高</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银行内部缺乏统一的数据标准或统计标准，指标含义不清晰，取数规则各异。未建立数据控制和监测机制，数据的真实性、准确性、连续性等难以保证，数据质量参差不齐。</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（三）数据应用难</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数据管理部门与银行业务部门之间未能形成良好协同，内部数据的碎片化，数据挖掘与数据应用力度不足，而与外部数据的隔离造成的数据孤岛效应，导致银行数字化转型阻力重重。</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（四）数据治理人才储备不足</w:t>
      </w:r>
    </w:p>
    <w:p>
      <w:pPr>
        <w:pStyle w:val="2"/>
        <w:widowControl/>
        <w:spacing w:line="600" w:lineRule="exact"/>
        <w:ind w:firstLine="720" w:firstLineChars="200"/>
        <w:jc w:val="both"/>
        <w:rPr>
          <w:rStyle w:val="5"/>
          <w:rFonts w:ascii="黑体" w:hAnsi="黑体" w:eastAsia="黑体" w:cs="黑体"/>
          <w:b w:val="0"/>
          <w:bCs/>
          <w:sz w:val="36"/>
          <w:szCs w:val="36"/>
        </w:rPr>
      </w:pPr>
      <w:r>
        <w:rPr>
          <w:rFonts w:hint="eastAsia" w:ascii="仿宋_GB2312" w:hAnsi="仿宋_GB2312" w:eastAsia="仿宋_GB2312" w:cs="仿宋_GB2312"/>
          <w:sz w:val="36"/>
          <w:szCs w:val="36"/>
        </w:rPr>
        <w:t>从行业整体来看，缺乏专门的数据管理部门，数据分析人才、管理人才、业务人才难以围绕数据治理形成合力，也未设置专门针对数据治理的专业队伍以及与之匹配的激励机制。</w:t>
      </w:r>
    </w:p>
    <w:p>
      <w:pPr>
        <w:pStyle w:val="2"/>
        <w:widowControl/>
        <w:spacing w:line="600" w:lineRule="exact"/>
        <w:ind w:firstLine="720" w:firstLineChars="200"/>
        <w:jc w:val="both"/>
        <w:rPr>
          <w:rFonts w:ascii="黑体" w:hAnsi="黑体" w:eastAsia="黑体" w:cs="黑体"/>
          <w:bCs/>
          <w:sz w:val="36"/>
          <w:szCs w:val="36"/>
        </w:rPr>
      </w:pPr>
      <w:r>
        <w:rPr>
          <w:rStyle w:val="5"/>
          <w:rFonts w:hint="eastAsia" w:ascii="黑体" w:hAnsi="黑体" w:eastAsia="黑体" w:cs="黑体"/>
          <w:b w:val="0"/>
          <w:bCs/>
          <w:sz w:val="36"/>
          <w:szCs w:val="36"/>
        </w:rPr>
        <w:t>二、加强数据治理，提升创新服务能力</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银行业发展的历程，也是科技手段不断迭代的过程，从电子化到信息化，再到数字化，不断地将科技创新成果应用于经营管理与客户服务。2018年5月，中国银保监会发布了《银行业金融机构数据治理指引》，首次将数据治理提升到银行常规管理的战略高度，明确要求银行将数据治理工作常态化、持久化。银行业金融机构应按照监管要求，以问题为导向，多措并举提升数据治理能力。</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（一）要逐步建立数据治理架构</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建立组织架构健全、职责边界清晰的数据治理架构，明确董事会、高级管理层、监事会和相关部门的职责分工，建立多层次、相互衔接的运行机制，将数据治理纳入银行发展战略，科学规划数据治理发展路线图和实施计划；确定并授权归口管理部门牵头负责实施数据治理体系建设，制定科学有效的数据管理制度，保障数据治理工作有效推进。如，建设银行成立了金融科技创新委员会，并设立了数据治理专业委员会，负责建行所有关于数据管理和数据应用重大事项的审批。中国银行建立了集团数据治理架构体系，制订并发布了数据治理框架政策、管理指引和操作流程，为全行数据管理和应用提供重要组织保障。</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（二）要制定统一、明确的数据标准，提升数据质量</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习近平总书记强调“标准决定质量，有什么样的标准，就有什么样的质量，只有高标准才有高质量”。坚持数据标准先行，首先，要做好行内数据标准制度建设，实现数据共享，保证数据的统一性、完整性、真实性和可用性；其次，努力构建数字治理保障机制，明确数据治理的内部权责，在IT 系统、法务合规部门、产品开发条线、业务部门以及数据治理部门建立良好的沟通协调机制；再次，建立考核评价体系和相应的激励机制，对数据质量进行主动管控。如，中国工商银行建立了统一的企业级数据标准，覆盖当事人、产品、协议、账户、介质等十大标准主题，为大数据体系下的数据共享奠定基础，还建立了国内金融行业首个全行级信息标准管理服务平台，实现数据标准的建立、变更、发布、查询、废止等全生命周期管理。</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（三）要弥合外部数据鸿沟，建立数据交互机制</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在数字化生存的社会中，大量的数据散布在社会各个主体之间，为更好地提升数字治理，建设数字中国，需要逐渐打破各个部门和主体的数字鸿沟。首先要从顶层设计角度对数据使用者、控制者、所有者之间的权利义务予以厘清和界定，实现全社会依法合规共享数据；其次还要建立金融业与其他行业的数据交互机制，打通外部数据与银行内部数据之间的关联，完善社会信用体系。比如，国家发展改革委和银保监会联合下发了《关于深入开展“信易贷”支持中小微企业融资的通知》，要求建立健全信用信息归集共享查询机制，依托全国信用信息共享平台，整合税务、市场监管、海关、司法、水、电、气费以及社保、住房公积金缴纳等领域的信用信息，这项政策的推出有助于“自上而下”打通部门间的信息孤岛，降低银行信息收集成本，缓解银企信息不对称问题，助力解决中小企业融资难融资贵的问题。</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（四）要加强数据分析应用，发挥数据内在价值</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在数据治理的基础上，银行业应充分运用数据分析，合理制定风险管理策略、提升风险管理体系的有效性。通过客户数据分析挖掘，准确理解客户需求，实现业务创新、产品创新和服务创新，提供精准产品服务，提升客户服务质量和服务水平。同时，通过网络、移动通信、自助设备、智能终端等渠道，使以前无法覆盖和满足的长尾客户的服务能够得以实现，让优质金融服务无处不在、触手可及。例如，基于大数据的“银税互动”业务模式在全行业的应用已经比较普遍，建设银行“惠懂你” “小微快贷”、光大银行“云闪付”等数字化服务不仅提高了银行业服务实体经济的质效，也极大地促进了普惠金融、包容性金融的发展。</w:t>
      </w:r>
    </w:p>
    <w:p>
      <w:pPr>
        <w:pStyle w:val="2"/>
        <w:widowControl/>
        <w:spacing w:line="600" w:lineRule="exact"/>
        <w:ind w:firstLine="723" w:firstLineChars="200"/>
        <w:jc w:val="both"/>
        <w:rPr>
          <w:rFonts w:ascii="仿宋_GB2312" w:hAnsi="仿宋_GB2312" w:eastAsia="仿宋_GB2312" w:cs="仿宋_GB2312"/>
          <w:sz w:val="36"/>
          <w:szCs w:val="36"/>
        </w:rPr>
      </w:pPr>
      <w:r>
        <w:rPr>
          <w:rStyle w:val="5"/>
          <w:rFonts w:hint="eastAsia" w:ascii="仿宋_GB2312" w:hAnsi="仿宋_GB2312" w:eastAsia="仿宋_GB2312" w:cs="仿宋_GB2312"/>
          <w:sz w:val="36"/>
          <w:szCs w:val="36"/>
        </w:rPr>
        <w:t>（五）要加强合规意识，完善客户个人隐私保护机制</w:t>
      </w:r>
      <w:r>
        <w:rPr>
          <w:rStyle w:val="5"/>
          <w:rFonts w:hint="eastAsia" w:ascii="仿宋_GB2312" w:hAnsi="仿宋_GB2312" w:eastAsia="仿宋_GB2312" w:cs="仿宋_GB2312"/>
          <w:sz w:val="36"/>
          <w:szCs w:val="36"/>
        </w:rPr>
        <w:br w:type="textWrapping"/>
      </w:r>
      <w:r>
        <w:rPr>
          <w:rStyle w:val="5"/>
          <w:rFonts w:hint="eastAsia" w:ascii="仿宋_GB2312" w:hAnsi="仿宋_GB2312" w:eastAsia="仿宋_GB2312" w:cs="仿宋_GB2312"/>
          <w:sz w:val="36"/>
          <w:szCs w:val="36"/>
        </w:rPr>
        <w:t xml:space="preserve">    </w:t>
      </w:r>
      <w:r>
        <w:rPr>
          <w:rFonts w:hint="eastAsia" w:ascii="仿宋_GB2312" w:hAnsi="仿宋_GB2312" w:eastAsia="仿宋_GB2312" w:cs="仿宋_GB2312"/>
          <w:sz w:val="36"/>
          <w:szCs w:val="36"/>
        </w:rPr>
        <w:t>个人金融信息保护趋严是大势所趋，从国际看，2018年欧盟出台了《一般数据保护条例》（GDPR），被称为史上最严个人信息保护立法,从多个方面强化对个人信息主体权利的保护，引发了广泛关注；从国内看，《数据安全管理办法》《个人信息出境安全评估办法》已经完成了公开征求意见，央行正在对《个人金融信息（数据）保护试行办法》征求意见。另外，我国已将《个人信息保护法》纳入全国人大常委会的立法规划。在此背景下，银行业金融机构应审时度势，在个人金融信息的采集、使用上牢固树立合规意识，进一步完善银行客户个人信息保护机制，切实维护消费者的合法权益。</w:t>
      </w:r>
    </w:p>
    <w:p>
      <w:pPr>
        <w:pStyle w:val="2"/>
        <w:widowControl/>
        <w:spacing w:line="600" w:lineRule="exact"/>
        <w:ind w:firstLine="720" w:firstLineChars="200"/>
        <w:jc w:val="both"/>
        <w:rPr>
          <w:rFonts w:ascii="仿宋_GB2312" w:hAnsi="仿宋_GB2312" w:eastAsia="仿宋_GB2312" w:cs="仿宋_GB2312"/>
          <w:sz w:val="36"/>
          <w:szCs w:val="36"/>
        </w:rPr>
      </w:pPr>
      <w:r>
        <w:rPr>
          <w:rStyle w:val="5"/>
          <w:rFonts w:hint="eastAsia" w:ascii="黑体" w:hAnsi="黑体" w:eastAsia="黑体" w:cs="黑体"/>
          <w:b w:val="0"/>
          <w:bCs/>
          <w:sz w:val="36"/>
          <w:szCs w:val="36"/>
        </w:rPr>
        <w:t>三、加强行业自律，构建开放共享的行业数据平台</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一花独放不是春，百花齐放春满园”，这用来比喻数字治理是最恰当不过，数字治理、数字经济乃至数字中国的建设，需要整个行业、整个社会共同努力才能取得最大的效用。作为行业社会组织，中国银行业协会汇聚多方资源，充分发挥平台作用，积极为银行业数字化转型搭建更为广阔的交流平台。</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（一）提升银行业数据标准化水平和治理能力</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中银协依托银行业产品和服务标准委员会，过去的三年，共推动包含国标、行标和团标12个标准的发布和建设。下一步，中银协将加强银行业数据标准化和治理工作，研究数据分析、数据安全、数据质量管理等技术标准，通过帮助会员单位建立与完善产品与服务标准化体系，挖掘和提炼数据标准化及治理的课题，建设并发布更多的适用数据标准。加强合作与交流，形成银行业大数据治理的良好生态。</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（二）协会依据自身条件，努力在引领数字化转型发展方面发挥引领沟通、协调的作用</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几年以来，协会联合多家银行推动银行区块链交易平台的建设，目前已经完成测试，有的银行通过平台达成交易，运行情况良好。</w:t>
      </w:r>
    </w:p>
    <w:p>
      <w:pPr>
        <w:pStyle w:val="2"/>
        <w:widowControl/>
        <w:spacing w:line="600" w:lineRule="exact"/>
        <w:ind w:firstLine="723" w:firstLineChars="200"/>
        <w:jc w:val="both"/>
        <w:rPr>
          <w:rStyle w:val="5"/>
          <w:rFonts w:ascii="仿宋_GB2312" w:hAnsi="仿宋_GB2312" w:eastAsia="仿宋_GB2312" w:cs="仿宋_GB2312"/>
          <w:sz w:val="36"/>
          <w:szCs w:val="36"/>
        </w:rPr>
      </w:pPr>
      <w:r>
        <w:rPr>
          <w:rStyle w:val="5"/>
          <w:rFonts w:hint="eastAsia" w:ascii="仿宋_GB2312" w:hAnsi="仿宋_GB2312" w:eastAsia="仿宋_GB2312" w:cs="仿宋_GB2312"/>
          <w:sz w:val="36"/>
          <w:szCs w:val="36"/>
        </w:rPr>
        <w:t>（三）助力培养金融科技与数据治理专才</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为解决银行业科技人才和数据人才不足的情况，为行业培养和输送更多高素质金融科技复合型人才，中银协已与香港科技大学、深圳大学、建行大学签署了中国银行业“金融科技师”认证合作备忘录，并开展金融科技师认证培训班，为金融机构实现数字化转型提供坚实的人才保障。此外，协会后续还将继续开展“全面风险管理与数据治理支持银行业战略转型”系列线上线下研修，帮助银行业金融机构学习贯彻《银行业金融机构数据治理指引》有关精神，将数据治理提升到银行常规管理的战略高度，实现数据治理工作的常态化、持久化，坚持问题导向，多措并举提升数据治理能力。</w:t>
      </w:r>
    </w:p>
    <w:p>
      <w:pPr>
        <w:pStyle w:val="2"/>
        <w:widowControl/>
        <w:spacing w:line="600" w:lineRule="exact"/>
        <w:ind w:firstLine="720" w:firstLineChars="20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最后，预祝本次研修班圆满成功，谢谢大家！</w:t>
      </w:r>
    </w:p>
    <w:p>
      <w:pPr>
        <w:spacing w:line="600" w:lineRule="exact"/>
        <w:ind w:firstLine="720" w:firstLineChars="200"/>
        <w:rPr>
          <w:rFonts w:ascii="仿宋_GB2312" w:hAnsi="仿宋_GB2312" w:eastAsia="仿宋_GB2312" w:cs="仿宋_GB2312"/>
          <w:sz w:val="36"/>
          <w:szCs w:val="36"/>
        </w:rPr>
      </w:pPr>
    </w:p>
    <w:p>
      <w:pPr>
        <w:pStyle w:val="2"/>
        <w:widowControl/>
        <w:spacing w:before="100" w:after="100" w:line="600" w:lineRule="exact"/>
        <w:ind w:firstLine="720" w:firstLineChars="200"/>
        <w:rPr>
          <w:rFonts w:hint="eastAsia" w:ascii="仿宋_GB2312" w:hAnsi="仿宋" w:eastAsia="仿宋_GB2312" w:cs="仿宋_GB2312"/>
          <w:sz w:val="36"/>
          <w:szCs w:val="36"/>
          <w:shd w:val="clear" w:color="auto" w:fill="FFFFFF"/>
        </w:rPr>
      </w:pPr>
    </w:p>
    <w:p>
      <w:pPr>
        <w:pStyle w:val="2"/>
        <w:widowControl/>
        <w:shd w:val="clear" w:color="auto" w:fill="FFFFFF"/>
        <w:adjustRightInd w:val="0"/>
        <w:snapToGrid w:val="0"/>
        <w:spacing w:before="100" w:after="100" w:line="360" w:lineRule="auto"/>
        <w:jc w:val="center"/>
        <w:rPr>
          <w:rFonts w:hint="eastAsia" w:ascii="仿宋" w:hAnsi="仿宋" w:eastAsia="仿宋" w:cs="仿宋_GB2312"/>
          <w:color w:val="000000"/>
          <w:sz w:val="32"/>
          <w:szCs w:val="32"/>
          <w:shd w:val="clear" w:color="auto" w:fill="FFFFFF"/>
        </w:rPr>
      </w:pPr>
    </w:p>
    <w:p>
      <w:pPr>
        <w:widowControl/>
        <w:spacing w:before="100" w:beforeAutospacing="1" w:after="100" w:afterAutospacing="1" w:line="360" w:lineRule="auto"/>
        <w:rPr>
          <w:rFonts w:hint="eastAsia" w:ascii="仿宋" w:hAnsi="仿宋" w:eastAsia="仿宋" w:cs="宋体"/>
          <w:color w:val="000000"/>
          <w:shd w:val="clear" w:color="auto" w:fill="FFFFFF"/>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6156D"/>
    <w:rsid w:val="6C861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2020-09-02T07:03:00Z</dcterms:created>
  <dc:creator>lenovo</dc:creator>
  <cp:lastModifiedBy>lenovo</cp:lastModifiedBy>
  <dcterms:modified xsi:type="dcterms:W3CDTF">2020-09-02T07:04:06Z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