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20" w:rsidRPr="00201F20" w:rsidRDefault="00201F20" w:rsidP="00201F20">
      <w:pPr>
        <w:spacing w:line="600" w:lineRule="exact"/>
        <w:rPr>
          <w:rFonts w:ascii="宋体" w:eastAsia="宋体" w:hAnsi="宋体" w:cs="Times New Roman"/>
          <w:sz w:val="32"/>
          <w:szCs w:val="32"/>
        </w:rPr>
      </w:pPr>
      <w:r w:rsidRPr="00201F20">
        <w:rPr>
          <w:rFonts w:ascii="宋体" w:eastAsia="宋体" w:hAnsi="宋体" w:cs="Times New Roman" w:hint="eastAsia"/>
          <w:sz w:val="32"/>
          <w:szCs w:val="32"/>
        </w:rPr>
        <w:t>附件</w:t>
      </w:r>
      <w:r w:rsidRPr="00201F20">
        <w:rPr>
          <w:rFonts w:ascii="宋体" w:eastAsia="宋体" w:hAnsi="宋体" w:cs="Times New Roman"/>
          <w:sz w:val="32"/>
          <w:szCs w:val="32"/>
        </w:rPr>
        <w:t>1</w:t>
      </w:r>
    </w:p>
    <w:p w:rsidR="00812686" w:rsidRDefault="00812686" w:rsidP="00812686">
      <w:pPr>
        <w:spacing w:line="600" w:lineRule="exact"/>
        <w:jc w:val="center"/>
        <w:rPr>
          <w:rFonts w:ascii="黑体" w:eastAsia="黑体" w:hAnsi="宋体"/>
          <w:b/>
          <w:bCs/>
          <w:sz w:val="36"/>
          <w:szCs w:val="36"/>
        </w:rPr>
      </w:pPr>
      <w:r>
        <w:rPr>
          <w:rFonts w:ascii="宋体" w:hAnsi="宋体" w:hint="eastAsia"/>
          <w:b/>
          <w:bCs/>
          <w:sz w:val="36"/>
          <w:szCs w:val="36"/>
        </w:rPr>
        <w:t>2019年XX银行服务总结报告撰写模板</w:t>
      </w:r>
    </w:p>
    <w:p w:rsidR="00812686" w:rsidRDefault="00812686" w:rsidP="00812686">
      <w:pPr>
        <w:spacing w:line="600" w:lineRule="exact"/>
        <w:jc w:val="center"/>
        <w:rPr>
          <w:rFonts w:ascii="黑体" w:eastAsia="黑体" w:hAnsi="宋体" w:hint="eastAsia"/>
          <w:sz w:val="32"/>
          <w:szCs w:val="32"/>
        </w:rPr>
      </w:pPr>
      <w:r>
        <w:rPr>
          <w:rFonts w:ascii="黑体" w:eastAsia="黑体" w:hAnsi="宋体" w:hint="eastAsia"/>
          <w:sz w:val="32"/>
          <w:szCs w:val="32"/>
        </w:rPr>
        <w:t xml:space="preserve"> </w:t>
      </w:r>
    </w:p>
    <w:p w:rsidR="00812686" w:rsidRDefault="00812686" w:rsidP="00812686">
      <w:pPr>
        <w:numPr>
          <w:ilvl w:val="0"/>
          <w:numId w:val="2"/>
        </w:numPr>
        <w:spacing w:line="600" w:lineRule="exact"/>
        <w:rPr>
          <w:rFonts w:ascii="黑体" w:eastAsia="黑体" w:hAnsi="宋体" w:hint="eastAsia"/>
          <w:sz w:val="32"/>
          <w:szCs w:val="32"/>
        </w:rPr>
      </w:pPr>
      <w:r>
        <w:rPr>
          <w:rFonts w:ascii="黑体" w:eastAsia="黑体" w:hAnsi="黑体" w:hint="eastAsia"/>
          <w:sz w:val="32"/>
          <w:szCs w:val="32"/>
        </w:rPr>
        <w:t>服务基本情况</w:t>
      </w:r>
    </w:p>
    <w:p w:rsidR="00812686" w:rsidRDefault="00812686" w:rsidP="00812686">
      <w:pPr>
        <w:spacing w:line="600" w:lineRule="exact"/>
        <w:ind w:left="709"/>
        <w:rPr>
          <w:rFonts w:ascii="黑体" w:eastAsia="黑体" w:hAnsi="宋体" w:hint="eastAsia"/>
          <w:sz w:val="32"/>
          <w:szCs w:val="32"/>
        </w:rPr>
      </w:pPr>
      <w:r>
        <w:rPr>
          <w:rFonts w:ascii="仿宋_GB2312" w:eastAsia="仿宋_GB2312" w:hAnsi="Calibri" w:hint="eastAsia"/>
          <w:sz w:val="32"/>
          <w:szCs w:val="32"/>
        </w:rPr>
        <w:t>●总体理念及效果</w:t>
      </w:r>
    </w:p>
    <w:p w:rsidR="00812686" w:rsidRDefault="00812686" w:rsidP="00812686">
      <w:pPr>
        <w:spacing w:line="600" w:lineRule="exact"/>
        <w:ind w:firstLineChars="200" w:firstLine="640"/>
        <w:rPr>
          <w:rFonts w:ascii="仿宋_GB2312" w:eastAsia="仿宋_GB2312" w:hAnsi="Times New Roman" w:hint="eastAsia"/>
          <w:sz w:val="32"/>
          <w:szCs w:val="32"/>
        </w:rPr>
      </w:pPr>
      <w:r>
        <w:rPr>
          <w:rFonts w:ascii="仿宋_GB2312" w:eastAsia="仿宋_GB2312" w:hAnsi="Calibri" w:hint="eastAsia"/>
          <w:sz w:val="32"/>
          <w:szCs w:val="32"/>
        </w:rPr>
        <w:t>●文化建设，包括合规文化、服务理念提升、服务战略规划、服务品牌建设、服务承诺等内容</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●管理制度，包括顺应严监管的合规制度建设、新出台的服务管理办法、新实行的服务管理制度、新优化的服务工作管理组织架构、服务岗位人力资源配置和考核机制等内容</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●服务监测管理情况（线上线下服务质量的日常监测手段，如何进行有效管理）</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●服务考核体系的结构、维度、占比等基本情况，服务质量在绩效考核中所占比例等内容</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●客户满意度的基本情况（包括本单位自主监测结果、外部机构监测结果），客户对银行的整体满意度、客户对银行各项服务的满意度以及与客户预期的对比、客户最希望得到的服务</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●客户对银行服务最满意的方面</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●客户不满意的服务种类，因物理条件、客观因素造成不满意服务的占比、能在短期内改善消费者体验的服务类型</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●获奖情况（总行级关于服务的奖项，如无可以不写）</w:t>
      </w:r>
    </w:p>
    <w:p w:rsidR="00812686" w:rsidRDefault="00812686" w:rsidP="00812686">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二、服务渠道</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●物理渠道（营业网点）的建设、智能银行</w:t>
      </w:r>
      <w:r>
        <w:rPr>
          <w:rFonts w:ascii="仿宋_GB2312" w:eastAsia="仿宋_GB2312" w:hAnsi="Calibri" w:hint="eastAsia"/>
          <w:sz w:val="32"/>
          <w:szCs w:val="32"/>
          <w:vertAlign w:val="superscript"/>
        </w:rPr>
        <w:t>1</w:t>
      </w:r>
      <w:r>
        <w:rPr>
          <w:rFonts w:ascii="仿宋_GB2312" w:eastAsia="仿宋_GB2312" w:hAnsi="Calibri" w:hint="eastAsia"/>
          <w:sz w:val="32"/>
          <w:szCs w:val="32"/>
        </w:rPr>
        <w:t>服务建设情况</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●自助服务渠道建设</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●电子渠道</w:t>
      </w:r>
      <w:r>
        <w:rPr>
          <w:rFonts w:ascii="仿宋_GB2312" w:eastAsia="仿宋_GB2312" w:hAnsi="Calibri" w:hint="eastAsia"/>
          <w:sz w:val="32"/>
          <w:szCs w:val="32"/>
          <w:vertAlign w:val="superscript"/>
        </w:rPr>
        <w:t>2</w:t>
      </w:r>
      <w:r>
        <w:rPr>
          <w:rFonts w:ascii="仿宋_GB2312" w:eastAsia="仿宋_GB2312" w:hAnsi="Calibri" w:hint="eastAsia"/>
          <w:sz w:val="32"/>
          <w:szCs w:val="32"/>
        </w:rPr>
        <w:t>建设、电商平台</w:t>
      </w:r>
      <w:r>
        <w:rPr>
          <w:rFonts w:ascii="仿宋_GB2312" w:eastAsia="仿宋_GB2312" w:hAnsi="Calibri" w:hint="eastAsia"/>
          <w:sz w:val="32"/>
          <w:szCs w:val="32"/>
          <w:vertAlign w:val="superscript"/>
        </w:rPr>
        <w:t>3</w:t>
      </w:r>
      <w:r>
        <w:rPr>
          <w:rFonts w:ascii="仿宋_GB2312" w:eastAsia="仿宋_GB2312" w:hAnsi="Calibri" w:hint="eastAsia"/>
          <w:sz w:val="32"/>
          <w:szCs w:val="32"/>
        </w:rPr>
        <w:t>建设运营情况等内容，以及电子渠道的无障碍化服务建设情况</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●客户服务中心服务</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●私人银行服务建设情况</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●社区支行、小微支行</w:t>
      </w:r>
      <w:r>
        <w:rPr>
          <w:rFonts w:ascii="仿宋_GB2312" w:eastAsia="仿宋_GB2312" w:hAnsi="Calibri" w:hint="eastAsia"/>
          <w:sz w:val="32"/>
          <w:szCs w:val="32"/>
          <w:vertAlign w:val="superscript"/>
        </w:rPr>
        <w:t>4</w:t>
      </w:r>
      <w:r>
        <w:rPr>
          <w:rFonts w:ascii="仿宋_GB2312" w:eastAsia="仿宋_GB2312" w:hAnsi="Calibri" w:hint="eastAsia"/>
          <w:sz w:val="32"/>
          <w:szCs w:val="32"/>
        </w:rPr>
        <w:t>服务建设情况</w:t>
      </w:r>
    </w:p>
    <w:p w:rsidR="00812686" w:rsidRDefault="00812686" w:rsidP="00812686">
      <w:pPr>
        <w:spacing w:line="600" w:lineRule="exact"/>
        <w:ind w:firstLineChars="200" w:firstLine="640"/>
        <w:rPr>
          <w:rFonts w:ascii="黑体" w:eastAsia="黑体" w:hAnsi="宋体" w:hint="eastAsia"/>
          <w:sz w:val="32"/>
          <w:szCs w:val="32"/>
        </w:rPr>
      </w:pPr>
      <w:r>
        <w:rPr>
          <w:rFonts w:ascii="黑体" w:eastAsia="黑体" w:hAnsi="黑体" w:hint="eastAsia"/>
          <w:sz w:val="32"/>
          <w:szCs w:val="32"/>
        </w:rPr>
        <w:t>三、服务流程</w:t>
      </w:r>
    </w:p>
    <w:p w:rsidR="00812686" w:rsidRDefault="00812686" w:rsidP="00812686">
      <w:pPr>
        <w:spacing w:line="600" w:lineRule="exact"/>
        <w:ind w:firstLineChars="200" w:firstLine="640"/>
        <w:rPr>
          <w:rFonts w:ascii="仿宋_GB2312" w:eastAsia="仿宋_GB2312" w:hAnsi="Times New Roman" w:hint="eastAsia"/>
          <w:sz w:val="32"/>
          <w:szCs w:val="32"/>
        </w:rPr>
      </w:pPr>
      <w:r>
        <w:rPr>
          <w:rFonts w:ascii="仿宋_GB2312" w:eastAsia="仿宋_GB2312" w:hAnsi="Calibri" w:hint="eastAsia"/>
          <w:sz w:val="32"/>
          <w:szCs w:val="32"/>
        </w:rPr>
        <w:t>●业务流程的优化,包括是否做到业务流程上前中后台全部分离，优化业务流程的数量，办理柜面业务的平均时长等</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●服务标准的完善</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●服务内容的构建</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●客户投诉处理机制的优化</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●针对网点服务人员、客服人员</w:t>
      </w:r>
      <w:r>
        <w:rPr>
          <w:rFonts w:ascii="仿宋_GB2312" w:eastAsia="仿宋_GB2312" w:hAnsi="Calibri" w:hint="eastAsia"/>
          <w:sz w:val="32"/>
          <w:szCs w:val="32"/>
          <w:vertAlign w:val="superscript"/>
        </w:rPr>
        <w:t>5</w:t>
      </w:r>
      <w:r>
        <w:rPr>
          <w:rFonts w:ascii="仿宋_GB2312" w:eastAsia="仿宋_GB2312" w:hAnsi="Calibri" w:hint="eastAsia"/>
          <w:sz w:val="32"/>
          <w:szCs w:val="32"/>
        </w:rPr>
        <w:t>的系统性培训</w:t>
      </w:r>
    </w:p>
    <w:p w:rsidR="00812686" w:rsidRDefault="00812686" w:rsidP="00812686">
      <w:pPr>
        <w:spacing w:line="600" w:lineRule="exact"/>
        <w:ind w:firstLineChars="200" w:firstLine="640"/>
        <w:rPr>
          <w:rFonts w:ascii="仿宋_GB2312" w:eastAsia="仿宋_GB2312" w:hint="eastAsia"/>
          <w:b/>
          <w:bCs/>
          <w:sz w:val="32"/>
          <w:szCs w:val="32"/>
        </w:rPr>
      </w:pPr>
      <w:r>
        <w:rPr>
          <w:rFonts w:ascii="黑体" w:eastAsia="黑体" w:hAnsi="黑体" w:hint="eastAsia"/>
          <w:sz w:val="32"/>
          <w:szCs w:val="32"/>
        </w:rPr>
        <w:t>四、金融服务与产品体系</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●国家重点项目金融服务（基础设施建设）</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●公司金融业务与产品创新</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●中小企业（包含小微企业、民营企业）金融服务与产品创新</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●个人金融服务与产品创新</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●普惠金融（三农、扶贫等）、绿色金融服务与产品创新</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●互联网金融产品与创新，包括创新产品的数量及内容等</w:t>
      </w:r>
    </w:p>
    <w:p w:rsidR="00812686" w:rsidRDefault="00812686" w:rsidP="00812686">
      <w:pPr>
        <w:spacing w:line="600" w:lineRule="exact"/>
        <w:ind w:firstLineChars="200" w:firstLine="640"/>
        <w:rPr>
          <w:rFonts w:ascii="黑体" w:eastAsia="黑体" w:hAnsi="宋体" w:hint="eastAsia"/>
          <w:sz w:val="32"/>
          <w:szCs w:val="32"/>
        </w:rPr>
      </w:pPr>
      <w:r>
        <w:rPr>
          <w:rFonts w:ascii="黑体" w:eastAsia="黑体" w:hAnsi="黑体" w:hint="eastAsia"/>
          <w:sz w:val="32"/>
          <w:szCs w:val="32"/>
        </w:rPr>
        <w:t>五、服务创新亮点展示及案例</w:t>
      </w:r>
    </w:p>
    <w:p w:rsidR="00812686" w:rsidRDefault="00812686" w:rsidP="00812686">
      <w:pPr>
        <w:spacing w:line="600" w:lineRule="exact"/>
        <w:ind w:firstLineChars="200" w:firstLine="640"/>
        <w:rPr>
          <w:rFonts w:ascii="仿宋_GB2312" w:eastAsia="仿宋_GB2312" w:hAnsi="Times New Roman" w:hint="eastAsia"/>
          <w:sz w:val="32"/>
          <w:szCs w:val="32"/>
        </w:rPr>
      </w:pPr>
      <w:r>
        <w:rPr>
          <w:rFonts w:ascii="仿宋_GB2312" w:eastAsia="仿宋_GB2312" w:hint="eastAsia"/>
          <w:sz w:val="32"/>
          <w:szCs w:val="32"/>
        </w:rPr>
        <w:t>●金融科技的创新与应用（安全保护、服务提质、推动发展等内容）</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●服务制度、机制、流程、理念方面的创新亮点展示及案例</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●营业网点布局设计、服务软硬件设施方面的创新亮点展示及案例</w:t>
      </w:r>
    </w:p>
    <w:p w:rsidR="00812686" w:rsidRDefault="00812686" w:rsidP="00812686">
      <w:pPr>
        <w:spacing w:line="600" w:lineRule="exact"/>
        <w:ind w:firstLineChars="200" w:firstLine="640"/>
        <w:rPr>
          <w:rFonts w:ascii="黑体" w:eastAsia="黑体" w:hAnsi="宋体" w:hint="eastAsia"/>
          <w:sz w:val="32"/>
          <w:szCs w:val="32"/>
        </w:rPr>
      </w:pPr>
      <w:r>
        <w:rPr>
          <w:rFonts w:ascii="黑体" w:eastAsia="黑体" w:hAnsi="黑体" w:hint="eastAsia"/>
          <w:sz w:val="32"/>
          <w:szCs w:val="32"/>
        </w:rPr>
        <w:t>六、消费者权益保护</w:t>
      </w:r>
    </w:p>
    <w:p w:rsidR="00812686" w:rsidRDefault="00812686" w:rsidP="00812686">
      <w:pPr>
        <w:spacing w:line="600" w:lineRule="exact"/>
        <w:ind w:firstLineChars="200" w:firstLine="640"/>
        <w:rPr>
          <w:rFonts w:ascii="仿宋_GB2312" w:eastAsia="仿宋_GB2312" w:hAnsi="Times New Roman" w:hint="eastAsia"/>
          <w:sz w:val="32"/>
          <w:szCs w:val="32"/>
        </w:rPr>
      </w:pPr>
      <w:r>
        <w:rPr>
          <w:rFonts w:ascii="仿宋_GB2312" w:eastAsia="仿宋_GB2312" w:hAnsi="Calibri" w:hint="eastAsia"/>
          <w:sz w:val="32"/>
          <w:szCs w:val="32"/>
        </w:rPr>
        <w:t>●消费者权益保护制度体系建设情况</w:t>
      </w:r>
    </w:p>
    <w:p w:rsidR="00812686" w:rsidRDefault="00812686" w:rsidP="00812686">
      <w:pPr>
        <w:spacing w:line="600" w:lineRule="exact"/>
        <w:ind w:firstLineChars="200" w:firstLine="640"/>
        <w:rPr>
          <w:rFonts w:ascii="黑体" w:eastAsia="黑体" w:hAnsi="宋体" w:hint="eastAsia"/>
          <w:sz w:val="32"/>
          <w:szCs w:val="32"/>
        </w:rPr>
      </w:pPr>
      <w:r>
        <w:rPr>
          <w:rFonts w:ascii="仿宋_GB2312" w:eastAsia="仿宋_GB2312" w:hAnsi="Calibri" w:hint="eastAsia"/>
          <w:sz w:val="32"/>
          <w:szCs w:val="32"/>
        </w:rPr>
        <w:t>●消费者投诉管理情况</w:t>
      </w:r>
    </w:p>
    <w:p w:rsidR="00812686" w:rsidRDefault="00812686" w:rsidP="00812686">
      <w:pPr>
        <w:spacing w:line="600" w:lineRule="exact"/>
        <w:ind w:firstLineChars="200" w:firstLine="640"/>
        <w:rPr>
          <w:rFonts w:ascii="仿宋_GB2312" w:eastAsia="仿宋_GB2312" w:hAnsi="Times New Roman" w:hint="eastAsia"/>
          <w:sz w:val="32"/>
          <w:szCs w:val="32"/>
        </w:rPr>
      </w:pPr>
      <w:r>
        <w:rPr>
          <w:rFonts w:ascii="仿宋_GB2312" w:eastAsia="仿宋_GB2312" w:hAnsi="Calibri" w:hint="eastAsia"/>
          <w:sz w:val="32"/>
          <w:szCs w:val="32"/>
        </w:rPr>
        <w:t>●消费者教育服务机制及工作开展情况</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●特殊群体无障碍服务情况</w:t>
      </w:r>
    </w:p>
    <w:p w:rsidR="00812686" w:rsidRDefault="00812686" w:rsidP="00812686">
      <w:pPr>
        <w:spacing w:line="600" w:lineRule="exact"/>
        <w:ind w:firstLineChars="200" w:firstLine="640"/>
        <w:rPr>
          <w:rFonts w:ascii="黑体" w:eastAsia="黑体" w:hAnsi="宋体" w:hint="eastAsia"/>
          <w:sz w:val="32"/>
          <w:szCs w:val="32"/>
        </w:rPr>
      </w:pPr>
      <w:r>
        <w:rPr>
          <w:rFonts w:ascii="黑体" w:eastAsia="黑体" w:hAnsi="黑体" w:hint="eastAsia"/>
          <w:sz w:val="32"/>
          <w:szCs w:val="32"/>
        </w:rPr>
        <w:t>七、专题活动</w:t>
      </w:r>
    </w:p>
    <w:p w:rsidR="00812686" w:rsidRDefault="00812686" w:rsidP="00812686">
      <w:pPr>
        <w:spacing w:line="600" w:lineRule="exact"/>
        <w:ind w:firstLineChars="200" w:firstLine="640"/>
        <w:rPr>
          <w:rFonts w:ascii="仿宋_GB2312" w:eastAsia="仿宋_GB2312" w:hAnsi="Times New Roman" w:hint="eastAsia"/>
          <w:b/>
          <w:bCs/>
          <w:sz w:val="32"/>
          <w:szCs w:val="32"/>
        </w:rPr>
      </w:pPr>
      <w:r>
        <w:rPr>
          <w:rFonts w:ascii="仿宋_GB2312" w:eastAsia="仿宋_GB2312" w:hAnsi="Arial" w:cs="Arial" w:hint="eastAsia"/>
          <w:kern w:val="0"/>
          <w:sz w:val="32"/>
          <w:szCs w:val="32"/>
        </w:rPr>
        <w:t>开展行业自律合规、提升服务管理、培育服务文化、建设服务品牌、推动服务创新、助力国家战略、支持三农小微发展、落实消费者权益保护、开展公众教育服务、践行社会责任、深化各界沟通、提升客户满意度等专题活动的简要总结</w:t>
      </w:r>
    </w:p>
    <w:p w:rsidR="00812686" w:rsidRDefault="00812686" w:rsidP="00812686">
      <w:pPr>
        <w:numPr>
          <w:ilvl w:val="0"/>
          <w:numId w:val="3"/>
        </w:numPr>
        <w:spacing w:line="600" w:lineRule="exact"/>
        <w:ind w:firstLineChars="200" w:firstLine="640"/>
        <w:rPr>
          <w:rFonts w:ascii="黑体" w:eastAsia="黑体" w:hAnsi="宋体" w:hint="eastAsia"/>
          <w:sz w:val="32"/>
          <w:szCs w:val="32"/>
        </w:rPr>
      </w:pPr>
      <w:r>
        <w:rPr>
          <w:rFonts w:ascii="黑体" w:eastAsia="黑体" w:hAnsi="黑体" w:hint="eastAsia"/>
          <w:sz w:val="32"/>
          <w:szCs w:val="32"/>
        </w:rPr>
        <w:t>问题及意见反馈</w:t>
      </w:r>
    </w:p>
    <w:p w:rsidR="00812686" w:rsidRDefault="00812686" w:rsidP="00812686">
      <w:pPr>
        <w:spacing w:line="600" w:lineRule="exact"/>
        <w:ind w:firstLineChars="200" w:firstLine="640"/>
        <w:rPr>
          <w:rFonts w:ascii="仿宋_GB2312" w:eastAsia="仿宋_GB2312" w:hAnsi="Arial" w:cs="Arial" w:hint="eastAsia"/>
          <w:kern w:val="0"/>
          <w:sz w:val="32"/>
          <w:szCs w:val="32"/>
        </w:rPr>
      </w:pPr>
      <w:r>
        <w:rPr>
          <w:rFonts w:ascii="仿宋_GB2312" w:eastAsia="仿宋_GB2312" w:hAnsi="Calibri" w:hint="eastAsia"/>
          <w:sz w:val="32"/>
          <w:szCs w:val="32"/>
        </w:rPr>
        <w:lastRenderedPageBreak/>
        <w:t>●</w:t>
      </w:r>
      <w:r>
        <w:rPr>
          <w:rFonts w:ascii="仿宋_GB2312" w:eastAsia="仿宋_GB2312" w:hAnsi="Arial" w:cs="Arial" w:hint="eastAsia"/>
          <w:kern w:val="0"/>
          <w:sz w:val="32"/>
          <w:szCs w:val="32"/>
        </w:rPr>
        <w:t>2019年需要全行业关注的服务管理问题及建议措施</w:t>
      </w:r>
    </w:p>
    <w:p w:rsidR="00812686" w:rsidRDefault="00812686" w:rsidP="00812686">
      <w:pPr>
        <w:spacing w:line="600" w:lineRule="exact"/>
        <w:ind w:firstLineChars="200" w:firstLine="640"/>
        <w:rPr>
          <w:rFonts w:ascii="仿宋_GB2312" w:eastAsia="仿宋_GB2312" w:hAnsi="Arial" w:cs="Arial" w:hint="eastAsia"/>
          <w:kern w:val="0"/>
          <w:sz w:val="32"/>
          <w:szCs w:val="32"/>
        </w:rPr>
      </w:pPr>
      <w:r>
        <w:rPr>
          <w:rFonts w:ascii="仿宋_GB2312" w:eastAsia="仿宋_GB2312" w:hAnsi="Calibri" w:hint="eastAsia"/>
          <w:sz w:val="32"/>
          <w:szCs w:val="32"/>
        </w:rPr>
        <w:t>●</w:t>
      </w:r>
      <w:r>
        <w:rPr>
          <w:rFonts w:ascii="仿宋_GB2312" w:eastAsia="仿宋_GB2312" w:hAnsi="Arial" w:cs="Arial" w:hint="eastAsia"/>
          <w:kern w:val="0"/>
          <w:sz w:val="32"/>
          <w:szCs w:val="32"/>
        </w:rPr>
        <w:t>2020年服务管理工作主要方向及计划。</w:t>
      </w:r>
    </w:p>
    <w:p w:rsidR="00812686" w:rsidRDefault="00812686" w:rsidP="00812686">
      <w:pPr>
        <w:spacing w:line="600" w:lineRule="exact"/>
        <w:rPr>
          <w:rFonts w:ascii="仿宋_GB2312" w:eastAsia="仿宋_GB2312" w:hAnsi="Times New Roman" w:cs="宋体" w:hint="eastAsia"/>
          <w:sz w:val="32"/>
          <w:szCs w:val="32"/>
        </w:rPr>
      </w:pPr>
      <w:r>
        <w:rPr>
          <w:rFonts w:ascii="仿宋_GB2312" w:eastAsia="仿宋_GB2312" w:hint="eastAsia"/>
          <w:sz w:val="32"/>
          <w:szCs w:val="32"/>
        </w:rPr>
        <w:t xml:space="preserve"> </w:t>
      </w:r>
    </w:p>
    <w:p w:rsidR="00812686" w:rsidRDefault="00812686" w:rsidP="00812686">
      <w:pPr>
        <w:spacing w:line="600" w:lineRule="exact"/>
        <w:rPr>
          <w:rFonts w:ascii="仿宋_GB2312" w:eastAsia="仿宋_GB2312" w:hint="eastAsia"/>
          <w:sz w:val="32"/>
          <w:szCs w:val="32"/>
        </w:rPr>
      </w:pPr>
      <w:r>
        <w:rPr>
          <w:rFonts w:ascii="仿宋_GB2312" w:eastAsia="仿宋_GB2312" w:hAnsi="Calibri" w:hint="eastAsia"/>
          <w:sz w:val="32"/>
          <w:szCs w:val="32"/>
        </w:rPr>
        <w:t>参考注释：</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1.智能银行指的是可以提供全天候自助和远程人工服务的模式的智慧型银行。这种银行不仅能实现传统自助银行的存款和转账功能，还能做到自助开户、自助申请储蓄卡、当场办卡和自助申请信用卡等。</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2.</w:t>
      </w:r>
      <w:r>
        <w:rPr>
          <w:rFonts w:ascii="仿宋_GB2312" w:eastAsia="仿宋_GB2312" w:hAnsi="仿宋" w:hint="eastAsia"/>
          <w:kern w:val="0"/>
          <w:sz w:val="32"/>
          <w:szCs w:val="32"/>
        </w:rPr>
        <w:t>电子渠道是指为客户提供金融服务的电话银行、网上银行、手机银行（包括短信银行、微信银行）、电视银行、自助银行等渠道</w:t>
      </w:r>
      <w:r>
        <w:rPr>
          <w:rFonts w:ascii="仿宋_GB2312" w:eastAsia="仿宋_GB2312" w:hAnsi="Calibri" w:hint="eastAsia"/>
          <w:sz w:val="32"/>
          <w:szCs w:val="32"/>
        </w:rPr>
        <w:t>。</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3.电商平台指的是本行开发运营的电子商务金融服务平台，不包括信用卡网上商城模式。</w:t>
      </w:r>
    </w:p>
    <w:p w:rsidR="00812686" w:rsidRDefault="00812686" w:rsidP="00812686">
      <w:pPr>
        <w:spacing w:line="600" w:lineRule="exact"/>
        <w:ind w:firstLineChars="200" w:firstLine="640"/>
        <w:rPr>
          <w:rFonts w:ascii="仿宋_GB2312" w:eastAsia="仿宋_GB2312" w:hint="eastAsia"/>
          <w:sz w:val="32"/>
          <w:szCs w:val="32"/>
        </w:rPr>
      </w:pPr>
      <w:r>
        <w:rPr>
          <w:rFonts w:ascii="仿宋_GB2312" w:eastAsia="仿宋_GB2312" w:hAnsi="Calibri" w:hint="eastAsia"/>
          <w:sz w:val="32"/>
          <w:szCs w:val="32"/>
        </w:rPr>
        <w:t>4.社区支行、小微支行是指履行相关行政审批程序、持牌经营的，定位于服务社区居民和小微企业的简易型银行网点，属于支行的一种特殊类型；与传统支行相比，功能设置简约，服务便捷灵活。</w:t>
      </w:r>
    </w:p>
    <w:p w:rsidR="00812686" w:rsidRDefault="00812686" w:rsidP="00812686">
      <w:pPr>
        <w:spacing w:line="600" w:lineRule="exact"/>
        <w:ind w:firstLineChars="200" w:firstLine="640"/>
        <w:rPr>
          <w:rFonts w:ascii="Calibri" w:hAnsi="Calibri" w:cs="Times New Roman"/>
          <w:sz w:val="32"/>
          <w:szCs w:val="32"/>
        </w:rPr>
        <w:sectPr w:rsidR="00812686">
          <w:pgSz w:w="12240" w:h="15840"/>
          <w:pgMar w:top="1440" w:right="1800" w:bottom="1440" w:left="1800" w:header="720" w:footer="720" w:gutter="0"/>
          <w:cols w:space="720"/>
        </w:sectPr>
      </w:pPr>
      <w:r>
        <w:rPr>
          <w:rFonts w:ascii="仿宋_GB2312" w:eastAsia="仿宋_GB2312" w:hAnsi="Calibri" w:hint="eastAsia"/>
          <w:sz w:val="32"/>
          <w:szCs w:val="32"/>
        </w:rPr>
        <w:t>5.客服人员指的是坐席代表，包括客户热线人员和信用卡客服人员，不包括客服热线中心或信用卡客服中心管理人。</w:t>
      </w:r>
    </w:p>
    <w:p w:rsidR="00812686" w:rsidRDefault="00812686" w:rsidP="00812686">
      <w:pPr>
        <w:spacing w:line="600" w:lineRule="exact"/>
        <w:ind w:firstLineChars="200" w:firstLine="420"/>
        <w:rPr>
          <w:rFonts w:ascii="Times New Roman" w:eastAsia="宋体" w:hint="eastAsia"/>
          <w:szCs w:val="21"/>
        </w:rPr>
      </w:pPr>
    </w:p>
    <w:p w:rsidR="004D1E75" w:rsidRPr="00812686" w:rsidRDefault="004D1E75" w:rsidP="00812686">
      <w:pPr>
        <w:spacing w:line="600" w:lineRule="exact"/>
        <w:jc w:val="center"/>
      </w:pPr>
    </w:p>
    <w:sectPr w:rsidR="004D1E75" w:rsidRPr="00812686" w:rsidSect="00077F29">
      <w:footerReference w:type="default" r:id="rId7"/>
      <w:pgSz w:w="11906" w:h="16838"/>
      <w:pgMar w:top="1361" w:right="1797" w:bottom="107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35" w:rsidRDefault="009A7235" w:rsidP="00201F20">
      <w:r>
        <w:separator/>
      </w:r>
    </w:p>
  </w:endnote>
  <w:endnote w:type="continuationSeparator" w:id="1">
    <w:p w:rsidR="009A7235" w:rsidRDefault="009A7235" w:rsidP="00201F2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022" w:rsidRDefault="00077F29">
    <w:pPr>
      <w:pStyle w:val="a4"/>
      <w:jc w:val="center"/>
    </w:pPr>
    <w:r>
      <w:fldChar w:fldCharType="begin"/>
    </w:r>
    <w:r w:rsidR="00527138">
      <w:instrText xml:space="preserve"> PAGE   \* MERGEFORMAT </w:instrText>
    </w:r>
    <w:r>
      <w:fldChar w:fldCharType="separate"/>
    </w:r>
    <w:r w:rsidR="00812686" w:rsidRPr="00812686">
      <w:rPr>
        <w:noProof/>
        <w:lang w:val="zh-CN"/>
      </w:rPr>
      <w:t>5</w:t>
    </w:r>
    <w:r>
      <w:fldChar w:fldCharType="end"/>
    </w:r>
  </w:p>
  <w:p w:rsidR="00FD5022" w:rsidRDefault="009A72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35" w:rsidRDefault="009A7235" w:rsidP="00201F20">
      <w:r>
        <w:separator/>
      </w:r>
    </w:p>
  </w:footnote>
  <w:footnote w:type="continuationSeparator" w:id="1">
    <w:p w:rsidR="009A7235" w:rsidRDefault="009A7235" w:rsidP="00201F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1A2B"/>
    <w:multiLevelType w:val="multilevel"/>
    <w:tmpl w:val="44BC60A0"/>
    <w:lvl w:ilvl="0">
      <w:start w:val="8"/>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CD83873"/>
    <w:multiLevelType w:val="multilevel"/>
    <w:tmpl w:val="8F9A8142"/>
    <w:lvl w:ilvl="0">
      <w:start w:val="1"/>
      <w:numFmt w:val="japaneseCounting"/>
      <w:lvlText w:val="%1、"/>
      <w:lvlJc w:val="left"/>
      <w:pPr>
        <w:tabs>
          <w:tab w:val="num" w:pos="0"/>
        </w:tabs>
        <w:ind w:left="1429" w:hanging="72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576879C6"/>
    <w:multiLevelType w:val="multilevel"/>
    <w:tmpl w:val="576879C6"/>
    <w:lvl w:ilvl="0">
      <w:start w:val="1"/>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600C"/>
    <w:rsid w:val="00002E57"/>
    <w:rsid w:val="00003AE8"/>
    <w:rsid w:val="00015A2D"/>
    <w:rsid w:val="00023E9B"/>
    <w:rsid w:val="00051D52"/>
    <w:rsid w:val="000614B5"/>
    <w:rsid w:val="00077F29"/>
    <w:rsid w:val="000E79A8"/>
    <w:rsid w:val="00142307"/>
    <w:rsid w:val="001749F6"/>
    <w:rsid w:val="001A56C5"/>
    <w:rsid w:val="001D5050"/>
    <w:rsid w:val="001E5C23"/>
    <w:rsid w:val="001F4CBC"/>
    <w:rsid w:val="00201F20"/>
    <w:rsid w:val="0020313C"/>
    <w:rsid w:val="0025097B"/>
    <w:rsid w:val="002624C9"/>
    <w:rsid w:val="00284B71"/>
    <w:rsid w:val="002939C8"/>
    <w:rsid w:val="002C1E42"/>
    <w:rsid w:val="002C64BC"/>
    <w:rsid w:val="00326BD6"/>
    <w:rsid w:val="0039223A"/>
    <w:rsid w:val="003C646D"/>
    <w:rsid w:val="004755CB"/>
    <w:rsid w:val="004827B3"/>
    <w:rsid w:val="00483C9E"/>
    <w:rsid w:val="00490DAA"/>
    <w:rsid w:val="004B266D"/>
    <w:rsid w:val="004D1E75"/>
    <w:rsid w:val="00527138"/>
    <w:rsid w:val="0059762A"/>
    <w:rsid w:val="005E3A33"/>
    <w:rsid w:val="005F5DF5"/>
    <w:rsid w:val="005F74EF"/>
    <w:rsid w:val="0061317F"/>
    <w:rsid w:val="00692064"/>
    <w:rsid w:val="006F22F4"/>
    <w:rsid w:val="00705379"/>
    <w:rsid w:val="007063D7"/>
    <w:rsid w:val="00755F01"/>
    <w:rsid w:val="00800F5C"/>
    <w:rsid w:val="00812686"/>
    <w:rsid w:val="00830CD9"/>
    <w:rsid w:val="00847B99"/>
    <w:rsid w:val="008721AF"/>
    <w:rsid w:val="008806F9"/>
    <w:rsid w:val="00887901"/>
    <w:rsid w:val="0089366B"/>
    <w:rsid w:val="008C6D10"/>
    <w:rsid w:val="008D6D87"/>
    <w:rsid w:val="008E54F7"/>
    <w:rsid w:val="00915467"/>
    <w:rsid w:val="00916CE5"/>
    <w:rsid w:val="00957AF6"/>
    <w:rsid w:val="009A7235"/>
    <w:rsid w:val="009D464C"/>
    <w:rsid w:val="009D502B"/>
    <w:rsid w:val="00A35DA4"/>
    <w:rsid w:val="00A43097"/>
    <w:rsid w:val="00A85B18"/>
    <w:rsid w:val="00B475D3"/>
    <w:rsid w:val="00B55EAF"/>
    <w:rsid w:val="00BC51B2"/>
    <w:rsid w:val="00BE33A1"/>
    <w:rsid w:val="00C43707"/>
    <w:rsid w:val="00C57CBC"/>
    <w:rsid w:val="00C655A1"/>
    <w:rsid w:val="00CE7D53"/>
    <w:rsid w:val="00CF1757"/>
    <w:rsid w:val="00CF3F85"/>
    <w:rsid w:val="00D46014"/>
    <w:rsid w:val="00D71F23"/>
    <w:rsid w:val="00D76237"/>
    <w:rsid w:val="00E12CD1"/>
    <w:rsid w:val="00E17C30"/>
    <w:rsid w:val="00E702FB"/>
    <w:rsid w:val="00E9600C"/>
    <w:rsid w:val="00EB435E"/>
    <w:rsid w:val="00EE5584"/>
    <w:rsid w:val="00F00469"/>
    <w:rsid w:val="00F044C6"/>
    <w:rsid w:val="00F04EC0"/>
    <w:rsid w:val="00F836DA"/>
    <w:rsid w:val="00FD2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F20"/>
    <w:rPr>
      <w:sz w:val="18"/>
      <w:szCs w:val="18"/>
    </w:rPr>
  </w:style>
  <w:style w:type="paragraph" w:styleId="a4">
    <w:name w:val="footer"/>
    <w:basedOn w:val="a"/>
    <w:link w:val="Char0"/>
    <w:uiPriority w:val="99"/>
    <w:unhideWhenUsed/>
    <w:rsid w:val="00201F20"/>
    <w:pPr>
      <w:tabs>
        <w:tab w:val="center" w:pos="4153"/>
        <w:tab w:val="right" w:pos="8306"/>
      </w:tabs>
      <w:snapToGrid w:val="0"/>
      <w:jc w:val="left"/>
    </w:pPr>
    <w:rPr>
      <w:sz w:val="18"/>
      <w:szCs w:val="18"/>
    </w:rPr>
  </w:style>
  <w:style w:type="character" w:customStyle="1" w:styleId="Char0">
    <w:name w:val="页脚 Char"/>
    <w:basedOn w:val="a0"/>
    <w:link w:val="a4"/>
    <w:uiPriority w:val="99"/>
    <w:rsid w:val="00201F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F20"/>
    <w:rPr>
      <w:sz w:val="18"/>
      <w:szCs w:val="18"/>
    </w:rPr>
  </w:style>
  <w:style w:type="paragraph" w:styleId="a4">
    <w:name w:val="footer"/>
    <w:basedOn w:val="a"/>
    <w:link w:val="Char0"/>
    <w:uiPriority w:val="99"/>
    <w:unhideWhenUsed/>
    <w:rsid w:val="00201F20"/>
    <w:pPr>
      <w:tabs>
        <w:tab w:val="center" w:pos="4153"/>
        <w:tab w:val="right" w:pos="8306"/>
      </w:tabs>
      <w:snapToGrid w:val="0"/>
      <w:jc w:val="left"/>
    </w:pPr>
    <w:rPr>
      <w:sz w:val="18"/>
      <w:szCs w:val="18"/>
    </w:rPr>
  </w:style>
  <w:style w:type="character" w:customStyle="1" w:styleId="Char0">
    <w:name w:val="页脚 Char"/>
    <w:basedOn w:val="a0"/>
    <w:link w:val="a4"/>
    <w:uiPriority w:val="99"/>
    <w:rsid w:val="00201F20"/>
    <w:rPr>
      <w:sz w:val="18"/>
      <w:szCs w:val="18"/>
    </w:rPr>
  </w:style>
</w:styles>
</file>

<file path=word/webSettings.xml><?xml version="1.0" encoding="utf-8"?>
<w:webSettings xmlns:r="http://schemas.openxmlformats.org/officeDocument/2006/relationships" xmlns:w="http://schemas.openxmlformats.org/wordprocessingml/2006/main">
  <w:divs>
    <w:div w:id="8908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钟文凯</cp:lastModifiedBy>
  <cp:revision>4</cp:revision>
  <dcterms:created xsi:type="dcterms:W3CDTF">2018-12-26T08:49:00Z</dcterms:created>
  <dcterms:modified xsi:type="dcterms:W3CDTF">2019-12-10T01:50:00Z</dcterms:modified>
</cp:coreProperties>
</file>