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黑体" w:eastAsia="仿宋_GB2312" w:cs="黑体"/>
          <w:sz w:val="32"/>
          <w:szCs w:val="32"/>
        </w:rPr>
      </w:pPr>
      <w:r>
        <w:rPr>
          <w:rFonts w:hint="eastAsia" w:ascii="仿宋_GB2312" w:hAnsi="黑体" w:eastAsia="仿宋_GB2312" w:cs="黑体"/>
          <w:sz w:val="32"/>
          <w:szCs w:val="32"/>
        </w:rPr>
        <w:t>附件1</w:t>
      </w:r>
    </w:p>
    <w:p>
      <w:pPr>
        <w:jc w:val="center"/>
        <w:rPr>
          <w:rFonts w:ascii="宋体" w:hAnsi="宋体" w:cs="黑体"/>
          <w:b/>
          <w:sz w:val="36"/>
          <w:szCs w:val="36"/>
        </w:rPr>
      </w:pPr>
      <w:r>
        <w:rPr>
          <w:rFonts w:hint="eastAsia" w:ascii="宋体" w:hAnsi="宋体" w:cs="黑体"/>
          <w:b/>
          <w:sz w:val="36"/>
          <w:szCs w:val="36"/>
        </w:rPr>
        <w:t>中国银行业发展研究优秀成果评选（2019）</w:t>
      </w:r>
    </w:p>
    <w:p>
      <w:pPr>
        <w:jc w:val="center"/>
        <w:rPr>
          <w:rFonts w:ascii="宋体" w:hAnsi="宋体" w:cs="黑体"/>
          <w:b/>
          <w:sz w:val="36"/>
          <w:szCs w:val="36"/>
        </w:rPr>
      </w:pPr>
      <w:r>
        <w:rPr>
          <w:rFonts w:hint="eastAsia" w:ascii="宋体" w:hAnsi="宋体" w:cs="黑体"/>
          <w:b/>
          <w:sz w:val="36"/>
          <w:szCs w:val="36"/>
        </w:rPr>
        <w:t>获奖作品名单</w:t>
      </w:r>
    </w:p>
    <w:tbl>
      <w:tblPr>
        <w:tblStyle w:val="6"/>
        <w:tblW w:w="8790" w:type="dxa"/>
        <w:tblInd w:w="-93" w:type="dxa"/>
        <w:tblLayout w:type="fixed"/>
        <w:tblCellMar>
          <w:top w:w="0" w:type="dxa"/>
          <w:left w:w="15" w:type="dxa"/>
          <w:bottom w:w="0" w:type="dxa"/>
          <w:right w:w="15" w:type="dxa"/>
        </w:tblCellMar>
      </w:tblPr>
      <w:tblGrid>
        <w:gridCol w:w="504"/>
        <w:gridCol w:w="4991"/>
        <w:gridCol w:w="1294"/>
        <w:gridCol w:w="123"/>
        <w:gridCol w:w="1878"/>
      </w:tblGrid>
      <w:tr>
        <w:tblPrEx>
          <w:tblLayout w:type="fixed"/>
          <w:tblCellMar>
            <w:top w:w="0" w:type="dxa"/>
            <w:left w:w="15" w:type="dxa"/>
            <w:bottom w:w="0" w:type="dxa"/>
            <w:right w:w="15" w:type="dxa"/>
          </w:tblCellMar>
        </w:tblPrEx>
        <w:trPr>
          <w:trHeight w:val="780" w:hRule="atLeast"/>
        </w:trPr>
        <w:tc>
          <w:tcPr>
            <w:tcW w:w="8790" w:type="dxa"/>
            <w:gridSpan w:val="5"/>
            <w:vAlign w:val="center"/>
          </w:tcPr>
          <w:p>
            <w:pPr>
              <w:autoSpaceDN w:val="0"/>
              <w:jc w:val="center"/>
              <w:textAlignment w:val="center"/>
              <w:rPr>
                <w:rFonts w:ascii="黑体" w:hAnsi="黑体" w:eastAsia="黑体"/>
                <w:b/>
                <w:color w:val="000000"/>
                <w:sz w:val="36"/>
              </w:rPr>
            </w:pPr>
            <w:r>
              <w:rPr>
                <w:rFonts w:ascii="黑体" w:hAnsi="黑体" w:eastAsia="黑体"/>
                <w:b/>
                <w:color w:val="000000"/>
                <w:sz w:val="32"/>
              </w:rPr>
              <w:t>特等奖</w:t>
            </w:r>
          </w:p>
        </w:tc>
      </w:tr>
      <w:tr>
        <w:tblPrEx>
          <w:tblLayout w:type="fixed"/>
          <w:tblCellMar>
            <w:top w:w="0" w:type="dxa"/>
            <w:left w:w="15" w:type="dxa"/>
            <w:bottom w:w="0" w:type="dxa"/>
            <w:right w:w="15" w:type="dxa"/>
          </w:tblCellMar>
        </w:tblPrEx>
        <w:trPr>
          <w:trHeight w:val="54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49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成果名称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作者</w:t>
            </w:r>
          </w:p>
        </w:tc>
        <w:tc>
          <w:tcPr>
            <w:tcW w:w="18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单位</w:t>
            </w:r>
          </w:p>
        </w:tc>
      </w:tr>
      <w:tr>
        <w:tblPrEx>
          <w:tblLayout w:type="fixed"/>
          <w:tblCellMar>
            <w:top w:w="0" w:type="dxa"/>
            <w:left w:w="15" w:type="dxa"/>
            <w:bottom w:w="0" w:type="dxa"/>
            <w:right w:w="15" w:type="dxa"/>
          </w:tblCellMar>
        </w:tblPrEx>
        <w:trPr>
          <w:trHeight w:val="690" w:hRule="atLeast"/>
        </w:trPr>
        <w:tc>
          <w:tcPr>
            <w:tcW w:w="504" w:type="dxa"/>
            <w:tcBorders>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ascii="仿宋" w:hAnsi="仿宋" w:eastAsia="仿宋"/>
                <w:color w:val="000000"/>
                <w:sz w:val="24"/>
              </w:rPr>
              <w:t>1</w:t>
            </w:r>
          </w:p>
        </w:tc>
        <w:tc>
          <w:tcPr>
            <w:tcW w:w="4991"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商业银行高质量发展评价体系构建与应用研究</w:t>
            </w:r>
          </w:p>
        </w:tc>
        <w:tc>
          <w:tcPr>
            <w:tcW w:w="1417" w:type="dxa"/>
            <w:gridSpan w:val="2"/>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廉保华、高磊、朱丽丽等</w:t>
            </w:r>
          </w:p>
        </w:tc>
        <w:tc>
          <w:tcPr>
            <w:tcW w:w="1878"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徽商银行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ascii="仿宋" w:hAnsi="仿宋" w:eastAsia="仿宋"/>
                <w:color w:val="000000"/>
                <w:sz w:val="24"/>
              </w:rPr>
              <w:t>2</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中国银行业对外开放：发展、影响与对策</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陈卫东、张兴荣、熊启跃等</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color w:val="000000"/>
                <w:sz w:val="24"/>
              </w:rPr>
            </w:pPr>
            <w:r>
              <w:rPr>
                <w:rFonts w:ascii="仿宋" w:hAnsi="仿宋" w:eastAsia="仿宋"/>
                <w:color w:val="000000"/>
                <w:sz w:val="24"/>
              </w:rPr>
              <w:t>3</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系统重要性银行与TLAC约束下的商业银行资本困境及应对策略</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黄剑辉、张丽云</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0" w:hRule="atLeast"/>
        </w:trPr>
        <w:tc>
          <w:tcPr>
            <w:tcW w:w="8790" w:type="dxa"/>
            <w:gridSpan w:val="5"/>
            <w:vAlign w:val="center"/>
          </w:tcPr>
          <w:p>
            <w:pPr>
              <w:autoSpaceDN w:val="0"/>
              <w:jc w:val="center"/>
              <w:textAlignment w:val="center"/>
              <w:rPr>
                <w:rFonts w:ascii="宋体" w:hAnsi="宋体"/>
                <w:b/>
                <w:color w:val="000000"/>
                <w:sz w:val="24"/>
              </w:rPr>
            </w:pPr>
            <w:r>
              <w:rPr>
                <w:rFonts w:hint="eastAsia" w:ascii="黑体" w:hAnsi="黑体" w:eastAsia="黑体" w:cs="黑体"/>
                <w:b/>
                <w:color w:val="000000"/>
                <w:sz w:val="32"/>
                <w:szCs w:val="32"/>
              </w:rPr>
              <w:t>一等奖</w:t>
            </w:r>
          </w:p>
        </w:tc>
      </w:tr>
      <w:tr>
        <w:tblPrEx>
          <w:tblLayout w:type="fixed"/>
          <w:tblCellMar>
            <w:top w:w="0" w:type="dxa"/>
            <w:left w:w="15" w:type="dxa"/>
            <w:bottom w:w="0" w:type="dxa"/>
            <w:right w:w="15" w:type="dxa"/>
          </w:tblCellMar>
        </w:tblPrEx>
        <w:trPr>
          <w:trHeight w:val="54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499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成果名称</w:t>
            </w:r>
          </w:p>
        </w:tc>
        <w:tc>
          <w:tcPr>
            <w:tcW w:w="129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作者</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单位</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银行信息化普惠金融能否缩小城乡收入差距？</w:t>
            </w:r>
            <w:r>
              <w:rPr>
                <w:rFonts w:hint="eastAsia"/>
                <w:sz w:val="22"/>
              </w:rPr>
              <w:br w:type="textWrapping"/>
            </w:r>
            <w:r>
              <w:rPr>
                <w:rFonts w:hint="eastAsia"/>
                <w:sz w:val="22"/>
              </w:rPr>
              <w:t>——贫困县与非贫困县数据的分层比较</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姜世超、翟冀、申莉</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0" w:hRule="atLeast"/>
        </w:trPr>
        <w:tc>
          <w:tcPr>
            <w:tcW w:w="504"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w:t>
            </w:r>
          </w:p>
        </w:tc>
        <w:tc>
          <w:tcPr>
            <w:tcW w:w="4991"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A银行经济资本应用实践研究</w:t>
            </w:r>
          </w:p>
        </w:tc>
        <w:tc>
          <w:tcPr>
            <w:tcW w:w="1294"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刘宏海</w:t>
            </w:r>
          </w:p>
        </w:tc>
        <w:tc>
          <w:tcPr>
            <w:tcW w:w="2001" w:type="dxa"/>
            <w:gridSpan w:val="2"/>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中国邮政储蓄银行</w:t>
            </w:r>
          </w:p>
        </w:tc>
      </w:tr>
      <w:tr>
        <w:tblPrEx>
          <w:tblLayout w:type="fixed"/>
          <w:tblCellMar>
            <w:top w:w="0" w:type="dxa"/>
            <w:left w:w="15" w:type="dxa"/>
            <w:bottom w:w="0" w:type="dxa"/>
            <w:right w:w="15" w:type="dxa"/>
          </w:tblCellMar>
        </w:tblPrEx>
        <w:trPr>
          <w:trHeight w:val="516"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IFRS9减值新规、公允价值会计和顺周期性研究—基于银行业风险量化的视角</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汪翀、喻志刚、李黎</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还款意愿约束下供应链金融中应收账款最优质押率测算</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刘艺</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南京银行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5</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中国信贷资产流转市场发展研究</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中国信贷资产流转市场发展研究课题组</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银行业信贷资产登记流转中心有限公司</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6</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国内外开放银行最新发展状况及商业银行金融科技战略研究</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李鑫</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7</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监管压力、资本调整与银行风险承担 </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韩雍</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855"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8</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金融科技驱动银行智能化转型发展战略研究</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蔡钊、张方、刘光仿</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9</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影子银行之同业非标对金融稳定的影响研究II</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董瑾杰</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690" w:hRule="atLeast"/>
        </w:trPr>
        <w:tc>
          <w:tcPr>
            <w:tcW w:w="50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10</w:t>
            </w:r>
          </w:p>
        </w:tc>
        <w:tc>
          <w:tcPr>
            <w:tcW w:w="499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国内外商业银行金融科技发展最新进展及商业银行对策建议</w:t>
            </w:r>
          </w:p>
        </w:tc>
        <w:tc>
          <w:tcPr>
            <w:tcW w:w="129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廖贝妮、王润</w:t>
            </w:r>
          </w:p>
        </w:tc>
        <w:tc>
          <w:tcPr>
            <w:tcW w:w="2001"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bl>
    <w:p>
      <w:pPr>
        <w:autoSpaceDE w:val="0"/>
        <w:autoSpaceDN w:val="0"/>
        <w:rPr>
          <w:rFonts w:ascii="黑体" w:hAnsi="黑体" w:eastAsia="黑体" w:cs="黑体"/>
          <w:b/>
          <w:bCs/>
          <w:sz w:val="32"/>
          <w:szCs w:val="32"/>
        </w:rPr>
      </w:pPr>
    </w:p>
    <w:tbl>
      <w:tblPr>
        <w:tblStyle w:val="6"/>
        <w:tblW w:w="8755" w:type="dxa"/>
        <w:tblInd w:w="-93" w:type="dxa"/>
        <w:tblLayout w:type="fixed"/>
        <w:tblCellMar>
          <w:top w:w="0" w:type="dxa"/>
          <w:left w:w="15" w:type="dxa"/>
          <w:bottom w:w="0" w:type="dxa"/>
          <w:right w:w="15" w:type="dxa"/>
        </w:tblCellMar>
      </w:tblPr>
      <w:tblGrid>
        <w:gridCol w:w="534"/>
        <w:gridCol w:w="5103"/>
        <w:gridCol w:w="1275"/>
        <w:gridCol w:w="1843"/>
      </w:tblGrid>
      <w:tr>
        <w:tblPrEx>
          <w:tblLayout w:type="fixed"/>
          <w:tblCellMar>
            <w:top w:w="0" w:type="dxa"/>
            <w:left w:w="15" w:type="dxa"/>
            <w:bottom w:w="0" w:type="dxa"/>
            <w:right w:w="15" w:type="dxa"/>
          </w:tblCellMar>
        </w:tblPrEx>
        <w:trPr>
          <w:trHeight w:val="690" w:hRule="atLeast"/>
        </w:trPr>
        <w:tc>
          <w:tcPr>
            <w:tcW w:w="8755" w:type="dxa"/>
            <w:gridSpan w:val="4"/>
            <w:vAlign w:val="center"/>
          </w:tcPr>
          <w:p>
            <w:pPr>
              <w:autoSpaceDN w:val="0"/>
              <w:jc w:val="center"/>
              <w:textAlignment w:val="center"/>
              <w:rPr>
                <w:rFonts w:ascii="黑体" w:hAnsi="黑体" w:eastAsia="黑体"/>
                <w:b/>
                <w:color w:val="000000"/>
                <w:sz w:val="24"/>
              </w:rPr>
            </w:pPr>
            <w:r>
              <w:rPr>
                <w:rFonts w:ascii="黑体" w:hAnsi="黑体" w:eastAsia="黑体"/>
                <w:b/>
                <w:color w:val="000000"/>
                <w:sz w:val="32"/>
                <w:szCs w:val="32"/>
              </w:rPr>
              <w:t>二等奖</w:t>
            </w:r>
          </w:p>
        </w:tc>
      </w:tr>
      <w:tr>
        <w:tblPrEx>
          <w:tblLayout w:type="fixed"/>
          <w:tblCellMar>
            <w:top w:w="0" w:type="dxa"/>
            <w:left w:w="15" w:type="dxa"/>
            <w:bottom w:w="0" w:type="dxa"/>
            <w:right w:w="15" w:type="dxa"/>
          </w:tblCellMar>
        </w:tblPrEx>
        <w:trPr>
          <w:trHeight w:val="690"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序号</w:t>
            </w:r>
          </w:p>
        </w:tc>
        <w:tc>
          <w:tcPr>
            <w:tcW w:w="510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成果名称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作者</w:t>
            </w:r>
          </w:p>
        </w:tc>
        <w:tc>
          <w:tcPr>
            <w:tcW w:w="1843"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单位</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不同金融发展模式比较研究 </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周琼、韩军伟</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中国邮政储蓄银行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2</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服务实体经济 支持企业融资 发展高收益债理财产品</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魏泉红、尚鹏、韩丰</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高质量发展战略背景下商业银行金融服务京津冀产业协同发展策略研究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张海波</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渤海银行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基于平台战略的商业银行民企金融服务体系构建</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刘龙、杜权、杨跃等</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浙商银行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5</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“一带一路”投融资模式与合作机制的政策思考</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温灏，沈继奔</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6</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资管渠道：四维评价</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孔祥</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兴业银行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7</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商业银行发展绿色投资银行业务的思考</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李峰</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8</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中小商业银行信用风险下的经济资本管理研究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周双</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华夏银行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9</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中小银行存款业务发展策略研究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麻艳、张丽云</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10</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A银行信贷产品创新效果评价及其影响因素研究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屈春友、刘小勇、方智</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中国邮政储蓄银行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11</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大都市型普惠金融视角下民营银行错位竞争创新机制研究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付强、郁蕊芬、钱璟</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上海华瑞银行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12</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聚焦细分领域  助推零售转型——商业银行消费金融业务机会及发展策略研究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董文欣、宋江立</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13</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我国上市银行经营效率与产权结构的相关性研究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曹鹏</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14</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商业银行破解民营企业融资难融资贵的整体进展及政策建议</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徐继峰、冯立果</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15</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交易银行与金融生态圈的构建和路径研究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金旭君、范晓岚、冯婉蓉</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16</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我国国民储蓄率变化趋势及商业银行负债业务策略</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连平、许文兵</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color w:val="000000"/>
                <w:sz w:val="22"/>
              </w:rPr>
            </w:pPr>
            <w:r>
              <w:rPr>
                <w:rFonts w:hint="eastAsia"/>
                <w:color w:val="000000"/>
                <w:sz w:val="22"/>
              </w:rPr>
              <w:t>交通银行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17</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商业银行“互联网+三农”金融服务的实践与思考</w:t>
            </w:r>
          </w:p>
          <w:p>
            <w:pPr>
              <w:jc w:val="center"/>
              <w:rPr>
                <w:rFonts w:ascii="宋体" w:hAnsi="宋体" w:eastAsia="宋体" w:cs="宋体"/>
                <w:sz w:val="22"/>
              </w:rPr>
            </w:pPr>
            <w:r>
              <w:rPr>
                <w:rFonts w:hint="eastAsia"/>
                <w:sz w:val="22"/>
              </w:rPr>
              <w:t>——以浙江区域为例</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冯建龙、楼天建、陶孟辉</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18</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消费金融与经济增长的互动研究</w:t>
            </w:r>
          </w:p>
          <w:p>
            <w:pPr>
              <w:jc w:val="center"/>
              <w:rPr>
                <w:rFonts w:ascii="宋体" w:hAnsi="宋体" w:eastAsia="宋体" w:cs="宋体"/>
                <w:sz w:val="22"/>
              </w:rPr>
            </w:pPr>
            <w:r>
              <w:rPr>
                <w:rFonts w:hint="eastAsia"/>
                <w:sz w:val="22"/>
              </w:rPr>
              <w:t>——理论分析与国际证据</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兴业消费金融股份公司课题组</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兴业银行</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19</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农村土地流转中的农户金融需求研究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孙文超</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中国农业发展银行 </w:t>
            </w:r>
          </w:p>
        </w:tc>
      </w:tr>
      <w:tr>
        <w:tblPrEx>
          <w:tblLayout w:type="fixed"/>
          <w:tblCellMar>
            <w:top w:w="0" w:type="dxa"/>
            <w:left w:w="15" w:type="dxa"/>
            <w:bottom w:w="0" w:type="dxa"/>
            <w:right w:w="15" w:type="dxa"/>
          </w:tblCellMar>
        </w:tblPrEx>
        <w:trPr>
          <w:trHeight w:val="692" w:hRule="atLeast"/>
        </w:trPr>
        <w:tc>
          <w:tcPr>
            <w:tcW w:w="534"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20</w:t>
            </w:r>
          </w:p>
        </w:tc>
        <w:tc>
          <w:tcPr>
            <w:tcW w:w="510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农村商业银行服务乡村振兴战略对策研究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孙开连</w:t>
            </w:r>
          </w:p>
        </w:tc>
        <w:tc>
          <w:tcPr>
            <w:tcW w:w="18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山东省农村信用社联合社</w:t>
            </w:r>
          </w:p>
        </w:tc>
      </w:tr>
    </w:tbl>
    <w:p>
      <w:pPr>
        <w:autoSpaceDE w:val="0"/>
        <w:autoSpaceDN w:val="0"/>
        <w:rPr>
          <w:rFonts w:ascii="黑体" w:hAnsi="黑体" w:eastAsia="黑体" w:cs="黑体"/>
          <w:b/>
          <w:bCs/>
          <w:sz w:val="32"/>
          <w:szCs w:val="32"/>
        </w:rPr>
      </w:pPr>
    </w:p>
    <w:tbl>
      <w:tblPr>
        <w:tblStyle w:val="6"/>
        <w:tblW w:w="8790" w:type="dxa"/>
        <w:tblInd w:w="-93" w:type="dxa"/>
        <w:tblLayout w:type="fixed"/>
        <w:tblCellMar>
          <w:top w:w="0" w:type="dxa"/>
          <w:left w:w="15" w:type="dxa"/>
          <w:bottom w:w="0" w:type="dxa"/>
          <w:right w:w="15" w:type="dxa"/>
        </w:tblCellMar>
      </w:tblPr>
      <w:tblGrid>
        <w:gridCol w:w="519"/>
        <w:gridCol w:w="15"/>
        <w:gridCol w:w="4961"/>
        <w:gridCol w:w="142"/>
        <w:gridCol w:w="1275"/>
        <w:gridCol w:w="1878"/>
      </w:tblGrid>
      <w:tr>
        <w:tblPrEx>
          <w:tblLayout w:type="fixed"/>
          <w:tblCellMar>
            <w:top w:w="0" w:type="dxa"/>
            <w:left w:w="15" w:type="dxa"/>
            <w:bottom w:w="0" w:type="dxa"/>
            <w:right w:w="15" w:type="dxa"/>
          </w:tblCellMar>
        </w:tblPrEx>
        <w:trPr>
          <w:trHeight w:val="690" w:hRule="atLeast"/>
        </w:trPr>
        <w:tc>
          <w:tcPr>
            <w:tcW w:w="8790" w:type="dxa"/>
            <w:gridSpan w:val="6"/>
            <w:vAlign w:val="center"/>
          </w:tcPr>
          <w:p>
            <w:pPr>
              <w:autoSpaceDN w:val="0"/>
              <w:jc w:val="center"/>
              <w:textAlignment w:val="center"/>
              <w:rPr>
                <w:rFonts w:ascii="宋体" w:hAnsi="宋体"/>
                <w:b/>
                <w:color w:val="000000"/>
                <w:sz w:val="24"/>
              </w:rPr>
            </w:pPr>
            <w:r>
              <w:rPr>
                <w:rFonts w:hint="eastAsia" w:ascii="黑体" w:hAnsi="黑体" w:eastAsia="黑体" w:cs="黑体"/>
                <w:b/>
                <w:color w:val="000000"/>
                <w:sz w:val="32"/>
                <w:szCs w:val="32"/>
              </w:rPr>
              <w:t>三等奖</w:t>
            </w:r>
          </w:p>
        </w:tc>
      </w:tr>
      <w:tr>
        <w:tblPrEx>
          <w:tblLayout w:type="fixed"/>
          <w:tblCellMar>
            <w:top w:w="0" w:type="dxa"/>
            <w:left w:w="15" w:type="dxa"/>
            <w:bottom w:w="0" w:type="dxa"/>
            <w:right w:w="15" w:type="dxa"/>
          </w:tblCellMar>
        </w:tblPrEx>
        <w:trPr>
          <w:trHeight w:val="690"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w:t>
            </w:r>
          </w:p>
          <w:p>
            <w:pPr>
              <w:autoSpaceDN w:val="0"/>
              <w:jc w:val="center"/>
              <w:textAlignment w:val="center"/>
              <w:rPr>
                <w:rFonts w:ascii="仿宋" w:hAnsi="仿宋" w:eastAsia="仿宋"/>
                <w:b/>
                <w:color w:val="000000"/>
                <w:sz w:val="24"/>
              </w:rPr>
            </w:pPr>
            <w:r>
              <w:rPr>
                <w:rFonts w:ascii="仿宋" w:hAnsi="仿宋" w:eastAsia="仿宋"/>
                <w:b/>
                <w:color w:val="000000"/>
                <w:sz w:val="24"/>
              </w:rPr>
              <w:t>号</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成果名称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作者</w:t>
            </w:r>
          </w:p>
        </w:tc>
        <w:tc>
          <w:tcPr>
            <w:tcW w:w="18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单位</w:t>
            </w:r>
          </w:p>
        </w:tc>
      </w:tr>
      <w:tr>
        <w:tblPrEx>
          <w:tblLayout w:type="fixed"/>
          <w:tblCellMar>
            <w:top w:w="0" w:type="dxa"/>
            <w:left w:w="15" w:type="dxa"/>
            <w:bottom w:w="0" w:type="dxa"/>
            <w:right w:w="15" w:type="dxa"/>
          </w:tblCellMar>
        </w:tblPrEx>
        <w:trPr>
          <w:trHeight w:val="692" w:hRule="atLeast"/>
        </w:trPr>
        <w:tc>
          <w:tcPr>
            <w:tcW w:w="519"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w:t>
            </w:r>
          </w:p>
        </w:tc>
        <w:tc>
          <w:tcPr>
            <w:tcW w:w="5118" w:type="dxa"/>
            <w:gridSpan w:val="3"/>
            <w:tcBorders>
              <w:left w:val="single" w:color="000000" w:sz="4" w:space="0"/>
              <w:bottom w:val="single" w:color="000000" w:sz="4" w:space="0"/>
              <w:right w:val="single" w:color="000000" w:sz="4" w:space="0"/>
            </w:tcBorders>
            <w:vAlign w:val="center"/>
          </w:tcPr>
          <w:p>
            <w:pPr>
              <w:jc w:val="center"/>
              <w:rPr>
                <w:sz w:val="22"/>
              </w:rPr>
            </w:pPr>
            <w:r>
              <w:rPr>
                <w:rFonts w:hint="eastAsia"/>
                <w:sz w:val="22"/>
              </w:rPr>
              <w:t>金融科技对零售银行运营机制的再造研究</w:t>
            </w:r>
          </w:p>
        </w:tc>
        <w:tc>
          <w:tcPr>
            <w:tcW w:w="1275" w:type="dxa"/>
            <w:tcBorders>
              <w:left w:val="single" w:color="000000" w:sz="4" w:space="0"/>
              <w:bottom w:val="single" w:color="000000" w:sz="4" w:space="0"/>
              <w:right w:val="single" w:color="000000" w:sz="4" w:space="0"/>
            </w:tcBorders>
            <w:vAlign w:val="center"/>
          </w:tcPr>
          <w:p>
            <w:pPr>
              <w:jc w:val="center"/>
              <w:rPr>
                <w:sz w:val="22"/>
              </w:rPr>
            </w:pPr>
            <w:r>
              <w:rPr>
                <w:rFonts w:hint="eastAsia"/>
                <w:sz w:val="22"/>
              </w:rPr>
              <w:t>王雅娟</w:t>
            </w:r>
          </w:p>
        </w:tc>
        <w:tc>
          <w:tcPr>
            <w:tcW w:w="1878" w:type="dxa"/>
            <w:tcBorders>
              <w:left w:val="single" w:color="000000" w:sz="4" w:space="0"/>
              <w:bottom w:val="single" w:color="000000" w:sz="4" w:space="0"/>
              <w:right w:val="single" w:color="000000" w:sz="4" w:space="0"/>
            </w:tcBorders>
            <w:vAlign w:val="center"/>
          </w:tcPr>
          <w:p>
            <w:pPr>
              <w:jc w:val="center"/>
              <w:rPr>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19"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2</w:t>
            </w:r>
          </w:p>
        </w:tc>
        <w:tc>
          <w:tcPr>
            <w:tcW w:w="5118" w:type="dxa"/>
            <w:gridSpan w:val="3"/>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创新金融模式促进农业走出去研究</w:t>
            </w:r>
          </w:p>
        </w:tc>
        <w:tc>
          <w:tcPr>
            <w:tcW w:w="1275"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尹燕飞</w:t>
            </w:r>
          </w:p>
        </w:tc>
        <w:tc>
          <w:tcPr>
            <w:tcW w:w="1878"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19" w:type="dxa"/>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3</w:t>
            </w:r>
          </w:p>
        </w:tc>
        <w:tc>
          <w:tcPr>
            <w:tcW w:w="5118" w:type="dxa"/>
            <w:gridSpan w:val="3"/>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基于运营模式创新打造商业银行转型发展“新引擎”的研究</w:t>
            </w:r>
          </w:p>
        </w:tc>
        <w:tc>
          <w:tcPr>
            <w:tcW w:w="1275"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赵壮志、孔新荣、韩通</w:t>
            </w:r>
          </w:p>
        </w:tc>
        <w:tc>
          <w:tcPr>
            <w:tcW w:w="1878"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4</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实体网点柜面服务变化与对策探讨</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董迎永、刘祥福</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5</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守正出新  化钝为利—我国银行业2018年经营分析及2019年展望</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中国民生银行研究院金融发展研究中心</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6</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中美贸易摩擦的趋势、影响和对策建议</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中国农业银行战略规划部课题组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7</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基于网络增信的商业银行与电商平台合作研究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霍青</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上海银行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8</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农业政策性银行支持绿色生态建设路径研究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杜彦坤</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中国农业发展银行 </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9</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零售商业银行个人客户精细化管理及其应用研究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个人金融部“个人客户精细化管理及其应用”研究课题组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中国邮政储蓄银行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10</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分支机构数量、技术进步与银行规模经济</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李瑾</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南京银行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11</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大数据技术在农行营销与风控领域的应用研究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孙建平、潘绪东、乐冠</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12</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商业银行开展科技金融创新的策略探究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陕西分行课题组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3</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建行•新华普惠金融小微指数报告</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建行新华普惠金融指数课题组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4</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新形势下我国中小型商业银行数字化转型策略研究</w:t>
            </w:r>
          </w:p>
          <w:p>
            <w:pPr>
              <w:jc w:val="center"/>
              <w:rPr>
                <w:rFonts w:ascii="宋体" w:hAnsi="宋体" w:eastAsia="宋体" w:cs="宋体"/>
                <w:sz w:val="22"/>
              </w:rPr>
            </w:pPr>
            <w:r>
              <w:rPr>
                <w:rFonts w:hint="eastAsia"/>
                <w:sz w:val="22"/>
              </w:rPr>
              <w:t>——基于SWOT模型分析</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张大鹏</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南京银行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5</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国有大型商业银行绿色金融业务发展的风险与应对策略研究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刘利众、王志涛、滑福宇</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r>
              <w:rPr>
                <w:rFonts w:hint="eastAsia" w:ascii="宋体" w:hAnsi="宋体"/>
                <w:color w:val="000000"/>
                <w:sz w:val="24"/>
              </w:rPr>
              <w:t>6</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普惠金融领域中的投行产品创新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张磊、蒋尚胤、韦韬</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17</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全球主要货币基准利率替代路径研究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边卫红、田园</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18</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民间投资与政府投资对经济增长影响的比较分析</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王京</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中国建设银行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19</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我国住房租赁市场需求及发展趋势研究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开发性金融支持住房租赁市场发展研究课题组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20</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乡村振兴战略进程中破解县域金融供给结构性失衡的模式机制探究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王霄汉、徐世杨、黄志军</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21</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地方政府债务“去杠杆”与商业银行业务转型</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汪伟、仇高擎、夏丹</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22</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基于行业敏感性的债券违约风险测度模型</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燕群</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23</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民间投资运行特征与商业银行信贷投向---基于江苏省数据的实证分析</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赵永清、张淦</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南京银行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24</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产业升级与商业银行对公信贷结构调整的有效性研究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李岩玉、董运佳</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25</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智能风控体系研究与实践</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宋首文、郝建炜、郝思婷</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26</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构建供应链金融生态圈，提升服务实体经济效率——商业银行供应链金融业务发展路径分析及政策建议</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王润、李岩玉、刘昊</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27</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南橘北枳：中美资管产业链对比</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乔永远、孔祥、吕爽</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兴业银行</w:t>
            </w:r>
          </w:p>
        </w:tc>
      </w:tr>
      <w:tr>
        <w:tblPrEx>
          <w:tblLayout w:type="fixed"/>
          <w:tblCellMar>
            <w:top w:w="0" w:type="dxa"/>
            <w:left w:w="15" w:type="dxa"/>
            <w:bottom w:w="0" w:type="dxa"/>
            <w:right w:w="15" w:type="dxa"/>
          </w:tblCellMar>
        </w:tblPrEx>
        <w:trPr>
          <w:trHeight w:val="53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28</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穿越周期的银行业——中美经济周期与银行业经营的对比研究</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樊志刚、李苏骁</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29</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我国民营企业融资困境的根源分析与破解路径</w:t>
            </w:r>
          </w:p>
          <w:p>
            <w:pPr>
              <w:jc w:val="center"/>
              <w:rPr>
                <w:rFonts w:ascii="宋体" w:hAnsi="宋体" w:eastAsia="宋体" w:cs="宋体"/>
                <w:sz w:val="22"/>
              </w:rPr>
            </w:pPr>
            <w:r>
              <w:rPr>
                <w:rFonts w:hint="eastAsia"/>
                <w:sz w:val="22"/>
              </w:rPr>
              <w:t>——基于实证分析与国外经验借鉴</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郭晓蓓、徐继峰</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19"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30</w:t>
            </w:r>
          </w:p>
        </w:tc>
        <w:tc>
          <w:tcPr>
            <w:tcW w:w="511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交易对手信用风险新标准法（SA-CCR）:方法、比较和影响</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张晨、李晖、吴爽等</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30" w:hRule="atLeast"/>
        </w:trPr>
        <w:tc>
          <w:tcPr>
            <w:tcW w:w="8790" w:type="dxa"/>
            <w:gridSpan w:val="6"/>
            <w:vAlign w:val="center"/>
          </w:tcPr>
          <w:p>
            <w:pPr>
              <w:autoSpaceDN w:val="0"/>
              <w:jc w:val="center"/>
              <w:textAlignment w:val="center"/>
              <w:rPr>
                <w:rFonts w:ascii="黑体" w:hAnsi="黑体" w:eastAsia="黑体" w:cs="黑体"/>
                <w:b/>
                <w:color w:val="000000"/>
                <w:sz w:val="32"/>
                <w:szCs w:val="32"/>
              </w:rPr>
            </w:pPr>
          </w:p>
          <w:p>
            <w:pPr>
              <w:autoSpaceDN w:val="0"/>
              <w:jc w:val="center"/>
              <w:textAlignment w:val="center"/>
              <w:rPr>
                <w:rFonts w:ascii="宋体" w:hAnsi="宋体"/>
                <w:b/>
                <w:color w:val="000000"/>
                <w:sz w:val="24"/>
              </w:rPr>
            </w:pPr>
            <w:r>
              <w:rPr>
                <w:rFonts w:hint="eastAsia" w:ascii="黑体" w:hAnsi="黑体" w:eastAsia="黑体" w:cs="黑体"/>
                <w:b/>
                <w:color w:val="000000"/>
                <w:sz w:val="32"/>
                <w:szCs w:val="32"/>
              </w:rPr>
              <w:t>优秀奖</w:t>
            </w:r>
          </w:p>
        </w:tc>
      </w:tr>
      <w:tr>
        <w:tblPrEx>
          <w:tblLayout w:type="fixed"/>
          <w:tblCellMar>
            <w:top w:w="0" w:type="dxa"/>
            <w:left w:w="15" w:type="dxa"/>
            <w:bottom w:w="0" w:type="dxa"/>
            <w:right w:w="15" w:type="dxa"/>
          </w:tblCellMar>
        </w:tblPrEx>
        <w:trPr>
          <w:trHeight w:val="630"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序</w:t>
            </w:r>
          </w:p>
          <w:p>
            <w:pPr>
              <w:autoSpaceDN w:val="0"/>
              <w:jc w:val="center"/>
              <w:textAlignment w:val="center"/>
              <w:rPr>
                <w:rFonts w:ascii="仿宋" w:hAnsi="仿宋" w:eastAsia="仿宋"/>
                <w:b/>
                <w:color w:val="000000"/>
                <w:sz w:val="24"/>
              </w:rPr>
            </w:pPr>
            <w:r>
              <w:rPr>
                <w:rFonts w:ascii="仿宋" w:hAnsi="仿宋" w:eastAsia="仿宋"/>
                <w:b/>
                <w:color w:val="000000"/>
                <w:sz w:val="24"/>
              </w:rPr>
              <w:t>号</w:t>
            </w:r>
          </w:p>
        </w:tc>
        <w:tc>
          <w:tcPr>
            <w:tcW w:w="4961"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成果名称</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作者</w:t>
            </w:r>
          </w:p>
        </w:tc>
        <w:tc>
          <w:tcPr>
            <w:tcW w:w="18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仿宋" w:hAnsi="仿宋" w:eastAsia="仿宋"/>
                <w:b/>
                <w:color w:val="000000"/>
                <w:sz w:val="24"/>
              </w:rPr>
            </w:pPr>
            <w:r>
              <w:rPr>
                <w:rFonts w:ascii="仿宋" w:hAnsi="仿宋" w:eastAsia="仿宋"/>
                <w:b/>
                <w:color w:val="000000"/>
                <w:sz w:val="24"/>
              </w:rPr>
              <w:t>单位</w:t>
            </w:r>
          </w:p>
        </w:tc>
      </w:tr>
      <w:tr>
        <w:tblPrEx>
          <w:tblLayout w:type="fixed"/>
          <w:tblCellMar>
            <w:top w:w="0" w:type="dxa"/>
            <w:left w:w="15" w:type="dxa"/>
            <w:bottom w:w="0" w:type="dxa"/>
            <w:right w:w="15" w:type="dxa"/>
          </w:tblCellMar>
        </w:tblPrEx>
        <w:trPr>
          <w:trHeight w:val="692" w:hRule="atLeast"/>
        </w:trPr>
        <w:tc>
          <w:tcPr>
            <w:tcW w:w="534" w:type="dxa"/>
            <w:gridSpan w:val="2"/>
            <w:tcBorders>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w:t>
            </w:r>
          </w:p>
        </w:tc>
        <w:tc>
          <w:tcPr>
            <w:tcW w:w="4961"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5G在银行业应用探索</w:t>
            </w:r>
          </w:p>
        </w:tc>
        <w:tc>
          <w:tcPr>
            <w:tcW w:w="1417" w:type="dxa"/>
            <w:gridSpan w:val="2"/>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王哲敏、顾蔚、李丽楠</w:t>
            </w:r>
          </w:p>
        </w:tc>
        <w:tc>
          <w:tcPr>
            <w:tcW w:w="1878" w:type="dxa"/>
            <w:tcBorders>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浦发银行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房价波动、流动性配置与商业银行信贷风险决策—基于中国54家商业银行的面板数据（2008-2016）</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张毅</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渤海银行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科学高效管控成本 助推银行战略转型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武雯、鄂永健</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交通银行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货币政策对银行风险承担的异质性影响测度：基于交互固定效应面板数据模型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张嘉明</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渤海银行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商业银行声誉风险防控措施研究—基于多维度指标的声誉风险评估模型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阮泉泉、戴亮、南明婕等</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基于深度学习的中小商业银行零售客户信用风险评估实践与应用</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蒋明润、刘殿生、李霞</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山东省城市商业银行合作联盟</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7</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商业银行零售平台联合贷法律合规问题探析</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项勇、陈蓓芬、徐姗</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上海银行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8</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有效利率传导机制的关键构成及分析</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陆怡舟、缪锦春、罗瑜</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华夏银行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9</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论上市公司破产重整中的金融债权保护</w:t>
            </w:r>
          </w:p>
          <w:p>
            <w:pPr>
              <w:jc w:val="center"/>
              <w:rPr>
                <w:rFonts w:ascii="宋体" w:hAnsi="宋体" w:eastAsia="宋体" w:cs="宋体"/>
                <w:sz w:val="22"/>
              </w:rPr>
            </w:pPr>
            <w:r>
              <w:rPr>
                <w:rFonts w:hint="eastAsia"/>
                <w:sz w:val="22"/>
              </w:rPr>
              <w:t>——基于重庆钢铁破产重整案例的实证分析及建议</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赵菁</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10</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中美贸易摩擦对利率债市场的影响与策略研究</w:t>
            </w:r>
          </w:p>
          <w:p>
            <w:pPr>
              <w:jc w:val="center"/>
              <w:rPr>
                <w:rFonts w:ascii="宋体" w:hAnsi="宋体" w:eastAsia="宋体" w:cs="宋体"/>
                <w:sz w:val="22"/>
              </w:rPr>
            </w:pPr>
            <w:r>
              <w:rPr>
                <w:rFonts w:hint="eastAsia"/>
                <w:sz w:val="22"/>
              </w:rPr>
              <w:t>——GTAP模型与时变VAR模型应用</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郭栋</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大数据时代反洗钱工作的智能化发展研究报告</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赵金涛、郑建宾、刘红宝</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中国银联</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数据挖掘方法在审计工作的应用</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徐兴晔、刘伟、张爱平</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中国邮政储蓄银行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客户欺诈风险分级</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付荣、徐兵华、张丹严</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基于信贷与代理投资业务交叉风险预警机制的研究分析报告</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于江漪</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巴塞尔协议Ⅲ最终版的背景、变化及对中国银行业的影响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孙若鹏</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中信银行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我国银行资本的变化趋势、结构及补充研究</w:t>
            </w:r>
          </w:p>
          <w:p>
            <w:pPr>
              <w:jc w:val="center"/>
              <w:rPr>
                <w:rFonts w:ascii="宋体" w:hAnsi="宋体" w:eastAsia="宋体" w:cs="宋体"/>
                <w:sz w:val="22"/>
              </w:rPr>
            </w:pPr>
            <w:r>
              <w:rPr>
                <w:rFonts w:hint="eastAsia"/>
                <w:sz w:val="22"/>
              </w:rPr>
              <w:t>——以A股上市商业银行为例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温彬、李洪侠、冯柏</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17</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中美贸易摩擦的核心</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刘向明</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18</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“十三五”期间商业银行国际化战略研究 </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李炫榆</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兴业银行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19</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银行资产管理业务未来市场格局与业务模式研究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贡方超、赵柏功、肖阳</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20</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贸易摩擦升温对中美金融市场的影响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刘语臻</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非金融不良资产研究——以H资产管理公司为例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成菲</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中国华融资产管理公司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海南省土地资源资本化证券化研究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刘勇、沈继奔、刘君义等</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基于因子分析和聚类分析的商业银行二级分行特色分类战略方法研究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应习文、袁雅珵、孙莹</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SZ金融租赁公司融资问题及对策研究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张红香</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苏州金融租赁股份有限公司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中美贸易冲突对山东省区域影响的调研报告</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李民、孙志伟、刘延年</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贷款集中度、偏离度对贷款质量的影响研究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马喜立</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华夏银行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27</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城市商业银行在跨区域发展下的风险管控研究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焦永亮</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北京银行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28</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“渠道变革、移动优先”——区域银行农村金融移动综合服务平台的研究与实践</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刘仲生、朱光远、王丽萍</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青岛农村商业银行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29</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中国光大银行H分行核心员工激励问题研究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荣越</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中国光大银行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30</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资管新规对商业银行的影响及应对策略</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李相栋</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银行综合化经营模式对绩效影响的实证研究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刘彦雷</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北京银行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政策性银行管理会计体系建设研究报告</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董仕军</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中国农业发展银行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区块链技术在支付清算领域的应用研究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高峰、尹剑翀、聂谋飘</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境外战略投资者持股对我国商业银行绩效影响的实证分析</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区慧莹</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广发银行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商业银行普惠金融发展建议</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周昆平、唐建伟、何飞</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4"/>
                <w:szCs w:val="24"/>
              </w:rPr>
            </w:pPr>
            <w:r>
              <w:rPr>
                <w:rFonts w:hint="eastAsia"/>
              </w:rPr>
              <w:t>交通银行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独角兽企业投资机会及商业银行授信策略研究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魏昱、吴啸林、郑群峰</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北京银行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37</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聚焦千禧，把握未来价值</w:t>
            </w:r>
          </w:p>
          <w:p>
            <w:pPr>
              <w:jc w:val="center"/>
              <w:rPr>
                <w:rFonts w:ascii="宋体" w:hAnsi="宋体" w:eastAsia="宋体" w:cs="宋体"/>
                <w:sz w:val="22"/>
              </w:rPr>
            </w:pPr>
            <w:r>
              <w:rPr>
                <w:rFonts w:hint="eastAsia"/>
                <w:sz w:val="22"/>
              </w:rPr>
              <w:t>——“千禧一代”客群消费画像研究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张白瑜、丁芬、孙易宇</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中国民生银行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38</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关于对惠农金融服务站模式的实践与探索—以巴彦淖尔市为例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周凤亮、杨林</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包商银行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39</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支付生态圈建设研究——以上海地区为例</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交通银行太平洋信用卡中心课题组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40</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“一带一路”开放新格局中我国资本项目开放的路径选择</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孟刚</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w:t>
            </w:r>
            <w:r>
              <w:rPr>
                <w:rFonts w:hint="eastAsia" w:ascii="宋体" w:hAnsi="宋体"/>
                <w:color w:val="000000"/>
                <w:sz w:val="24"/>
              </w:rPr>
              <w:t>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构建“险补结合”粮食补贴新体系初探</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姚蔚</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中国农业发展银行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《欧洲支付服务修订法案》（PSD2）背景下的开放银行实践及挑战</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陶峰</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中国银行保险监督管理委员会</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43</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sz w:val="22"/>
              </w:rPr>
            </w:pPr>
            <w:r>
              <w:rPr>
                <w:rFonts w:hint="eastAsia"/>
                <w:sz w:val="22"/>
              </w:rPr>
              <w:t>金融监管下的API经济</w:t>
            </w:r>
          </w:p>
          <w:p>
            <w:pPr>
              <w:jc w:val="center"/>
              <w:rPr>
                <w:rFonts w:ascii="宋体" w:hAnsi="宋体" w:eastAsia="宋体" w:cs="宋体"/>
                <w:sz w:val="22"/>
              </w:rPr>
            </w:pPr>
            <w:r>
              <w:rPr>
                <w:rFonts w:hint="eastAsia"/>
                <w:sz w:val="22"/>
              </w:rPr>
              <w:t>——业界实践及卡组织利用API路径探究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程赛、杨珊珊、罗楚慧</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中国银联</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44</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中美贸易战升级的原因、影响及趋势分析</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黄礼健</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交通银行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45</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金融资产管理公司介入民企纾困业务研究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何力军、刘守卫、史丁莎</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中国华融资产管理公司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ascii="宋体" w:hAnsi="宋体"/>
                <w:color w:val="000000"/>
                <w:sz w:val="24"/>
              </w:rPr>
              <w:t>46</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人工智能如何应用于商业银行信贷审批</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陆文萍</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中国光大银行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47</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混业经营与新金融监管改革趋势下银行资产管理业务发展路径研究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房婉秋</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48</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基于区块联盟链下的银行间信息科技合作机制与模式研究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胡勇、张潇潇、石文娟</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国家开发银行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49</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围绕“破、立、降”助力实体经济谈如何进一步深化金融供给侧结构性改革</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胡晓宁</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江苏省农村信用社联合社</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50</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乡村振兴战略背景下商业银行金融服务框架构建及其演进路径研究——基于农行湖北分行三种模式的实证分析</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陈金焱、彭中、余德斌 </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中国农业银行</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51</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合规背景下的农发行中长期信贷模式研究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张雄</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 xml:space="preserve">中国农业发展银行 </w:t>
            </w:r>
          </w:p>
        </w:tc>
      </w:tr>
      <w:tr>
        <w:tblPrEx>
          <w:tblLayout w:type="fixed"/>
          <w:tblCellMar>
            <w:top w:w="0" w:type="dxa"/>
            <w:left w:w="15" w:type="dxa"/>
            <w:bottom w:w="0" w:type="dxa"/>
            <w:right w:w="15" w:type="dxa"/>
          </w:tblCellMar>
        </w:tblPrEx>
        <w:trPr>
          <w:trHeight w:val="692" w:hRule="atLeast"/>
        </w:trPr>
        <w:tc>
          <w:tcPr>
            <w:tcW w:w="534"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ascii="宋体" w:hAnsi="宋体"/>
                <w:color w:val="000000"/>
                <w:sz w:val="24"/>
              </w:rPr>
            </w:pPr>
            <w:r>
              <w:rPr>
                <w:rFonts w:hint="eastAsia" w:ascii="宋体" w:hAnsi="宋体"/>
                <w:color w:val="000000"/>
                <w:sz w:val="24"/>
              </w:rPr>
              <w:t>52</w:t>
            </w:r>
          </w:p>
        </w:tc>
        <w:tc>
          <w:tcPr>
            <w:tcW w:w="496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基于RFM模型和大数据分析的商业银行“长尾”零售用户拓展营销策略研究</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孙尤嘉</w:t>
            </w:r>
          </w:p>
        </w:tc>
        <w:tc>
          <w:tcPr>
            <w:tcW w:w="1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2"/>
              </w:rPr>
            </w:pPr>
            <w:r>
              <w:rPr>
                <w:rFonts w:hint="eastAsia"/>
                <w:sz w:val="22"/>
              </w:rPr>
              <w:t>中国工商银行</w:t>
            </w:r>
          </w:p>
        </w:tc>
      </w:tr>
    </w:tbl>
    <w:p>
      <w:pPr>
        <w:widowControl/>
        <w:jc w:val="left"/>
        <w:rPr>
          <w:rFonts w:ascii="仿宋_GB2312" w:hAnsi="宋体" w:eastAsia="仿宋_GB2312"/>
          <w:sz w:val="32"/>
          <w:szCs w:val="32"/>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952866"/>
      <w:docPartObj>
        <w:docPartGallery w:val="AutoText"/>
      </w:docPartObj>
    </w:sdtPr>
    <w:sdtContent>
      <w:p>
        <w:pPr>
          <w:pStyle w:val="4"/>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E02"/>
    <w:rsid w:val="00015239"/>
    <w:rsid w:val="00035EE4"/>
    <w:rsid w:val="000464CA"/>
    <w:rsid w:val="00054FB7"/>
    <w:rsid w:val="00062507"/>
    <w:rsid w:val="00062C52"/>
    <w:rsid w:val="00065B29"/>
    <w:rsid w:val="000964CE"/>
    <w:rsid w:val="000E1444"/>
    <w:rsid w:val="000F450A"/>
    <w:rsid w:val="00114889"/>
    <w:rsid w:val="0013297F"/>
    <w:rsid w:val="00133A93"/>
    <w:rsid w:val="00145956"/>
    <w:rsid w:val="00150FA2"/>
    <w:rsid w:val="00185101"/>
    <w:rsid w:val="001C1EF1"/>
    <w:rsid w:val="001D1A39"/>
    <w:rsid w:val="001F0EE2"/>
    <w:rsid w:val="001F4AFC"/>
    <w:rsid w:val="002103AC"/>
    <w:rsid w:val="00211D21"/>
    <w:rsid w:val="00230418"/>
    <w:rsid w:val="00240779"/>
    <w:rsid w:val="00240A4B"/>
    <w:rsid w:val="0025295E"/>
    <w:rsid w:val="00267560"/>
    <w:rsid w:val="0028177C"/>
    <w:rsid w:val="002D3D64"/>
    <w:rsid w:val="002D4635"/>
    <w:rsid w:val="002D6D4E"/>
    <w:rsid w:val="00305E55"/>
    <w:rsid w:val="0033790A"/>
    <w:rsid w:val="00344CF6"/>
    <w:rsid w:val="003524A7"/>
    <w:rsid w:val="003702B5"/>
    <w:rsid w:val="0037758A"/>
    <w:rsid w:val="003805A3"/>
    <w:rsid w:val="00384349"/>
    <w:rsid w:val="003C091C"/>
    <w:rsid w:val="003C131D"/>
    <w:rsid w:val="003C3B78"/>
    <w:rsid w:val="003C589C"/>
    <w:rsid w:val="00401C49"/>
    <w:rsid w:val="00413D9F"/>
    <w:rsid w:val="0042596A"/>
    <w:rsid w:val="004333C2"/>
    <w:rsid w:val="004362BB"/>
    <w:rsid w:val="004445FD"/>
    <w:rsid w:val="00445B47"/>
    <w:rsid w:val="00494EF7"/>
    <w:rsid w:val="004A30E0"/>
    <w:rsid w:val="004E135D"/>
    <w:rsid w:val="00511388"/>
    <w:rsid w:val="0051185C"/>
    <w:rsid w:val="0052163A"/>
    <w:rsid w:val="00541ABE"/>
    <w:rsid w:val="005E4593"/>
    <w:rsid w:val="005E66C9"/>
    <w:rsid w:val="00600AE2"/>
    <w:rsid w:val="00604B18"/>
    <w:rsid w:val="006118F4"/>
    <w:rsid w:val="00622994"/>
    <w:rsid w:val="00624B13"/>
    <w:rsid w:val="00650419"/>
    <w:rsid w:val="00662D37"/>
    <w:rsid w:val="006C75A7"/>
    <w:rsid w:val="006D2C7F"/>
    <w:rsid w:val="00721E85"/>
    <w:rsid w:val="00742AF5"/>
    <w:rsid w:val="00794146"/>
    <w:rsid w:val="007C60BE"/>
    <w:rsid w:val="007D787C"/>
    <w:rsid w:val="008025E7"/>
    <w:rsid w:val="00826A6A"/>
    <w:rsid w:val="00862723"/>
    <w:rsid w:val="00871233"/>
    <w:rsid w:val="0087551E"/>
    <w:rsid w:val="00877224"/>
    <w:rsid w:val="008A7735"/>
    <w:rsid w:val="008C7B90"/>
    <w:rsid w:val="008D66FE"/>
    <w:rsid w:val="008E45D3"/>
    <w:rsid w:val="00933BAA"/>
    <w:rsid w:val="00937D14"/>
    <w:rsid w:val="00970A99"/>
    <w:rsid w:val="00983096"/>
    <w:rsid w:val="009A6B08"/>
    <w:rsid w:val="009B1BD4"/>
    <w:rsid w:val="009F4421"/>
    <w:rsid w:val="00A306A9"/>
    <w:rsid w:val="00A43A68"/>
    <w:rsid w:val="00AD5C96"/>
    <w:rsid w:val="00B32AF4"/>
    <w:rsid w:val="00B45EB2"/>
    <w:rsid w:val="00B62325"/>
    <w:rsid w:val="00B722EA"/>
    <w:rsid w:val="00BB3565"/>
    <w:rsid w:val="00BD0827"/>
    <w:rsid w:val="00BD09B6"/>
    <w:rsid w:val="00BF1499"/>
    <w:rsid w:val="00C04D5D"/>
    <w:rsid w:val="00C21E0C"/>
    <w:rsid w:val="00C25495"/>
    <w:rsid w:val="00C31E02"/>
    <w:rsid w:val="00C67627"/>
    <w:rsid w:val="00C74F79"/>
    <w:rsid w:val="00C801D9"/>
    <w:rsid w:val="00CB0468"/>
    <w:rsid w:val="00CB16B6"/>
    <w:rsid w:val="00CC0A86"/>
    <w:rsid w:val="00D10975"/>
    <w:rsid w:val="00D27686"/>
    <w:rsid w:val="00D345D2"/>
    <w:rsid w:val="00D43E9D"/>
    <w:rsid w:val="00D5154A"/>
    <w:rsid w:val="00D70491"/>
    <w:rsid w:val="00DA06E1"/>
    <w:rsid w:val="00DB122C"/>
    <w:rsid w:val="00E41FAD"/>
    <w:rsid w:val="00E44135"/>
    <w:rsid w:val="00E4617E"/>
    <w:rsid w:val="00EA153C"/>
    <w:rsid w:val="00EA436A"/>
    <w:rsid w:val="00EA5C19"/>
    <w:rsid w:val="00EB532C"/>
    <w:rsid w:val="00ED465C"/>
    <w:rsid w:val="00EF54D4"/>
    <w:rsid w:val="00F23706"/>
    <w:rsid w:val="00F57E33"/>
    <w:rsid w:val="00F90EAD"/>
    <w:rsid w:val="00FA2948"/>
    <w:rsid w:val="00FE5133"/>
    <w:rsid w:val="2C6F3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Balloon Text"/>
    <w:basedOn w:val="1"/>
    <w:link w:val="11"/>
    <w:semiHidden/>
    <w:unhideWhenUsed/>
    <w:uiPriority w:val="99"/>
    <w:rPr>
      <w:sz w:val="18"/>
      <w:szCs w:val="18"/>
    </w:rPr>
  </w:style>
  <w:style w:type="paragraph" w:styleId="4">
    <w:name w:val="footer"/>
    <w:basedOn w:val="1"/>
    <w:link w:val="9"/>
    <w:unhideWhenUsed/>
    <w:uiPriority w:val="99"/>
    <w:pPr>
      <w:tabs>
        <w:tab w:val="center" w:pos="4153"/>
        <w:tab w:val="right" w:pos="8306"/>
      </w:tabs>
      <w:snapToGrid w:val="0"/>
      <w:jc w:val="left"/>
    </w:pPr>
    <w:rPr>
      <w:sz w:val="18"/>
      <w:szCs w:val="18"/>
    </w:rPr>
  </w:style>
  <w:style w:type="paragraph" w:styleId="5">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99"/>
    <w:rPr>
      <w:sz w:val="18"/>
      <w:szCs w:val="18"/>
    </w:rPr>
  </w:style>
  <w:style w:type="character" w:customStyle="1" w:styleId="9">
    <w:name w:val="页脚 Char"/>
    <w:basedOn w:val="7"/>
    <w:link w:val="4"/>
    <w:uiPriority w:val="99"/>
    <w:rPr>
      <w:sz w:val="18"/>
      <w:szCs w:val="18"/>
    </w:rPr>
  </w:style>
  <w:style w:type="character" w:customStyle="1" w:styleId="10">
    <w:name w:val="日期 Char"/>
    <w:basedOn w:val="7"/>
    <w:link w:val="2"/>
    <w:semiHidden/>
    <w:uiPriority w:val="99"/>
  </w:style>
  <w:style w:type="character" w:customStyle="1" w:styleId="11">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848</Words>
  <Characters>4840</Characters>
  <Lines>40</Lines>
  <Paragraphs>11</Paragraphs>
  <TotalTime>3500</TotalTime>
  <ScaleCrop>false</ScaleCrop>
  <LinksUpToDate>false</LinksUpToDate>
  <CharactersWithSpaces>5677</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2018-09-27T02:10:00Z</dcterms:created>
  <dc:creator>dell</dc:creator>
  <cp:lastModifiedBy>小园子</cp:lastModifiedBy>
  <cp:lastPrinted>2019-08-29T03:34:00Z</cp:lastPrinted>
  <dcterms:modified xsi:type="dcterms:W3CDTF">2019-09-10T03:10:54Z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